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Pr="00B50057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4CEA50B6" w14:textId="55EE2D0C" w:rsidR="00C443E5" w:rsidRPr="00B50057" w:rsidRDefault="00E378CD" w:rsidP="00B50057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5</w:t>
      </w:r>
      <w:r w:rsidR="00B50057" w:rsidRPr="00B50057">
        <w:rPr>
          <w:rFonts w:asciiTheme="minorHAnsi" w:eastAsia="Times New Roman" w:hAnsiTheme="minorHAnsi" w:cstheme="minorHAnsi"/>
          <w:bCs/>
          <w:lang w:eastAsia="pl-PL"/>
        </w:rPr>
        <w:t>/CPR/2023/</w:t>
      </w:r>
      <w:r w:rsidR="00E8561A">
        <w:rPr>
          <w:rFonts w:asciiTheme="minorHAnsi" w:eastAsia="Times New Roman" w:hAnsiTheme="minorHAnsi" w:cstheme="minorHAnsi"/>
          <w:bCs/>
          <w:lang w:eastAsia="pl-PL"/>
        </w:rPr>
        <w:t>e1</w:t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</w:r>
      <w:r>
        <w:rPr>
          <w:rFonts w:asciiTheme="minorHAnsi" w:eastAsia="Times New Roman" w:hAnsiTheme="minorHAnsi" w:cstheme="minorHAnsi"/>
          <w:bCs/>
          <w:lang w:eastAsia="pl-PL"/>
        </w:rPr>
        <w:tab/>
        <w:t>Katowice, 15/03/2024</w:t>
      </w:r>
    </w:p>
    <w:p w14:paraId="75CA21B8" w14:textId="77777777" w:rsidR="0015481E" w:rsidRDefault="0015481E" w:rsidP="0015481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3501273" w14:textId="6F481FD8" w:rsidR="0015481E" w:rsidRDefault="0015481E" w:rsidP="0015481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2158D7C" w14:textId="2FAF09C3" w:rsidR="003A6319" w:rsidRDefault="00E8561A" w:rsidP="0015481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  <w:proofErr w:type="spellStart"/>
      <w:r>
        <w:rPr>
          <w:rFonts w:asciiTheme="minorHAnsi" w:eastAsia="Times New Roman" w:hAnsiTheme="minorHAnsi" w:cstheme="minorHAnsi"/>
          <w:b/>
          <w:bCs/>
          <w:lang w:eastAsia="pl-PL"/>
        </w:rPr>
        <w:t>Editable</w:t>
      </w:r>
      <w:proofErr w:type="spellEnd"/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version of point XII. </w:t>
      </w:r>
      <w:r w:rsidRPr="00E8561A">
        <w:rPr>
          <w:rFonts w:cs="Calibri"/>
          <w:b/>
          <w:color w:val="000000"/>
          <w:sz w:val="24"/>
          <w:szCs w:val="24"/>
          <w:lang w:eastAsia="pl-PL"/>
        </w:rPr>
        <w:t>IMPORTANT TERMS OF THE CONTRACT, CONDITIONS FOR AMENDING THE CONTRACT AND CONDITIONS FOR TERMINATION OF THE CONTRACT / WITHDRAWAL</w:t>
      </w:r>
    </w:p>
    <w:p w14:paraId="41E09BA5" w14:textId="77777777" w:rsidR="0015481E" w:rsidRDefault="0015481E" w:rsidP="0015481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8561A" w:rsidRPr="00362CE1" w14:paraId="31E5E31D" w14:textId="77777777" w:rsidTr="00106207">
        <w:tc>
          <w:tcPr>
            <w:tcW w:w="9771" w:type="dxa"/>
            <w:shd w:val="clear" w:color="auto" w:fill="D9D9D9" w:themeFill="background1" w:themeFillShade="D9"/>
          </w:tcPr>
          <w:p w14:paraId="33DFF5CF" w14:textId="006EADBB" w:rsidR="00E8561A" w:rsidRPr="00E8561A" w:rsidRDefault="00E8561A" w:rsidP="00E8561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E8561A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IMPORTANT TERMS OF THE CONTRACT, CONDITIONS FOR AMENDING THE CONTRACT AND CONDITIONS FOR TERMINATION OF THE CONTRACT / WITHDRAWAL</w:t>
            </w:r>
          </w:p>
        </w:tc>
      </w:tr>
      <w:tr w:rsidR="00E8561A" w:rsidRPr="00362CE1" w14:paraId="1D022701" w14:textId="77777777" w:rsidTr="00106207">
        <w:tc>
          <w:tcPr>
            <w:tcW w:w="9771" w:type="dxa"/>
          </w:tcPr>
          <w:p w14:paraId="5B468C00" w14:textId="77777777" w:rsidR="00E8561A" w:rsidRPr="00362CE1" w:rsidRDefault="00E8561A" w:rsidP="001062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3C75CC3E" w14:textId="77777777" w:rsidR="00E8561A" w:rsidRDefault="00E8561A" w:rsidP="00E856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</w:pPr>
            <w:proofErr w:type="spellStart"/>
            <w:r>
              <w:t>Deadlines</w:t>
            </w:r>
            <w:proofErr w:type="spellEnd"/>
            <w:r>
              <w:t xml:space="preserve"> for </w:t>
            </w:r>
            <w:proofErr w:type="spellStart"/>
            <w:r>
              <w:t>contract</w:t>
            </w:r>
            <w:proofErr w:type="spellEnd"/>
            <w:r>
              <w:t xml:space="preserve"> performance:</w:t>
            </w:r>
          </w:p>
          <w:p w14:paraId="0E29441D" w14:textId="77777777" w:rsidR="00E8561A" w:rsidRDefault="00E8561A" w:rsidP="00106207">
            <w:pPr>
              <w:pStyle w:val="Akapitzlist"/>
              <w:jc w:val="both"/>
              <w:rPr>
                <w:rStyle w:val="rynqvb"/>
                <w:lang w:val="en"/>
              </w:rPr>
            </w:pPr>
            <w:proofErr w:type="spellStart"/>
            <w:r>
              <w:t>Completion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r>
              <w:rPr>
                <w:rStyle w:val="rynqvb"/>
                <w:lang w:val="en"/>
              </w:rPr>
              <w:t xml:space="preserve">– </w:t>
            </w:r>
            <w:r w:rsidRPr="000315F0">
              <w:rPr>
                <w:rStyle w:val="rynqvb"/>
                <w:lang w:val="en"/>
              </w:rPr>
              <w:t xml:space="preserve">delivery of brand new cyclotron bunker doors, a detailed description of which can be found in the attachment - description of the subject of the </w:t>
            </w:r>
            <w:r>
              <w:rPr>
                <w:rStyle w:val="rynqvb"/>
                <w:lang w:val="en"/>
              </w:rPr>
              <w:t>contract</w:t>
            </w:r>
            <w:r w:rsidRPr="000315F0">
              <w:rPr>
                <w:rStyle w:val="rynqvb"/>
                <w:lang w:val="en"/>
              </w:rPr>
              <w:t xml:space="preserve"> and </w:t>
            </w:r>
            <w:r>
              <w:rPr>
                <w:rStyle w:val="rynqvb"/>
                <w:lang w:val="en"/>
              </w:rPr>
              <w:t xml:space="preserve">delivery and installation confirmed by signing the delivery and acceptance protocol without any reservations until May 30, 2024. </w:t>
            </w:r>
            <w:r w:rsidRPr="00A20148">
              <w:rPr>
                <w:rStyle w:val="rynqvb"/>
                <w:lang w:val="en"/>
              </w:rPr>
              <w:t xml:space="preserve">Upon receipt of the </w:t>
            </w:r>
            <w:r>
              <w:rPr>
                <w:rStyle w:val="rynqvb"/>
                <w:lang w:val="en"/>
              </w:rPr>
              <w:t>subject of the contract</w:t>
            </w:r>
            <w:r w:rsidRPr="00A20148">
              <w:rPr>
                <w:rStyle w:val="rynqvb"/>
                <w:lang w:val="en"/>
              </w:rPr>
              <w:t xml:space="preserve"> on the basis of the acceptance </w:t>
            </w:r>
            <w:r>
              <w:rPr>
                <w:rStyle w:val="rynqvb"/>
                <w:lang w:val="en"/>
              </w:rPr>
              <w:t xml:space="preserve">protocol </w:t>
            </w:r>
            <w:r w:rsidRPr="00A20148">
              <w:rPr>
                <w:rStyle w:val="rynqvb"/>
                <w:lang w:val="en"/>
              </w:rPr>
              <w:t xml:space="preserve">without any </w:t>
            </w:r>
            <w:r>
              <w:rPr>
                <w:rStyle w:val="rynqvb"/>
                <w:lang w:val="en"/>
              </w:rPr>
              <w:t>reservations</w:t>
            </w:r>
            <w:r w:rsidRPr="00A20148">
              <w:rPr>
                <w:rStyle w:val="rynqvb"/>
                <w:lang w:val="en"/>
              </w:rPr>
              <w:t xml:space="preserve"> after completed installation, the benefits and burdens related to the subject of the contract and the risk of its accidental loss or damage are transferred to the Ordering Party.</w:t>
            </w:r>
          </w:p>
          <w:p w14:paraId="6026BAFD" w14:textId="77777777" w:rsidR="00E8561A" w:rsidRPr="00B655C8" w:rsidRDefault="00E8561A" w:rsidP="00106207">
            <w:pPr>
              <w:pStyle w:val="Akapitzlist"/>
              <w:jc w:val="both"/>
            </w:pPr>
          </w:p>
          <w:p w14:paraId="48E06D6D" w14:textId="77777777" w:rsidR="00E8561A" w:rsidRDefault="00E8561A" w:rsidP="00E8561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</w:pPr>
            <w:r>
              <w:t xml:space="preserve">Place of performance of the </w:t>
            </w:r>
            <w:proofErr w:type="spellStart"/>
            <w:r>
              <w:t>contract</w:t>
            </w:r>
            <w:proofErr w:type="spellEnd"/>
            <w:r>
              <w:t>:</w:t>
            </w:r>
          </w:p>
          <w:p w14:paraId="64D2CF8E" w14:textId="77777777" w:rsidR="00E8561A" w:rsidRDefault="00E8561A" w:rsidP="00106207">
            <w:pPr>
              <w:pStyle w:val="Akapitzlist"/>
              <w:jc w:val="both"/>
            </w:pPr>
            <w:r>
              <w:t xml:space="preserve">Katowice, Poland, </w:t>
            </w:r>
            <w:proofErr w:type="spellStart"/>
            <w:r>
              <w:rPr>
                <w:rStyle w:val="rynqvb"/>
                <w:lang w:val="en"/>
              </w:rPr>
              <w:t>Bocheńskiego</w:t>
            </w:r>
            <w:proofErr w:type="spellEnd"/>
            <w:r>
              <w:rPr>
                <w:rStyle w:val="rynqvb"/>
                <w:lang w:val="en"/>
              </w:rPr>
              <w:t xml:space="preserve"> Street (plots marked no. 45/5, 45/6, 42/20, 42/31)</w:t>
            </w:r>
          </w:p>
          <w:p w14:paraId="06715614" w14:textId="77777777" w:rsidR="00E8561A" w:rsidRPr="00B655C8" w:rsidRDefault="00E8561A" w:rsidP="00106207">
            <w:pPr>
              <w:pStyle w:val="Akapitzlist"/>
              <w:jc w:val="both"/>
            </w:pPr>
          </w:p>
          <w:p w14:paraId="44FFE86D" w14:textId="77777777" w:rsidR="00E8561A" w:rsidRDefault="00E8561A" w:rsidP="00E8561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</w:pPr>
            <w:r>
              <w:t xml:space="preserve">Nature of </w:t>
            </w:r>
            <w:proofErr w:type="spellStart"/>
            <w:r>
              <w:t>remuneration</w:t>
            </w:r>
            <w:proofErr w:type="spellEnd"/>
            <w:r>
              <w:t>:</w:t>
            </w:r>
          </w:p>
          <w:p w14:paraId="2884690D" w14:textId="77777777" w:rsidR="00E8561A" w:rsidRPr="00B655C8" w:rsidRDefault="00E8561A" w:rsidP="00106207">
            <w:pPr>
              <w:pStyle w:val="Akapitzlist"/>
              <w:jc w:val="both"/>
            </w:pPr>
            <w:r>
              <w:t xml:space="preserve">The </w:t>
            </w:r>
            <w:proofErr w:type="spellStart"/>
            <w:r>
              <w:t>Contractor's</w:t>
            </w:r>
            <w:proofErr w:type="spellEnd"/>
            <w:r>
              <w:t xml:space="preserve"> </w:t>
            </w:r>
            <w:proofErr w:type="spellStart"/>
            <w:r>
              <w:t>remuneration</w:t>
            </w:r>
            <w:proofErr w:type="spellEnd"/>
            <w:r>
              <w:t xml:space="preserve"> for the </w:t>
            </w:r>
            <w:proofErr w:type="spellStart"/>
            <w:r>
              <w:t>subject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lump sum and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performance </w:t>
            </w:r>
            <w:r>
              <w:rPr>
                <w:rStyle w:val="rynqvb"/>
                <w:lang w:val="en"/>
              </w:rPr>
              <w:t xml:space="preserve">and delivery, transport, </w:t>
            </w:r>
            <w:proofErr w:type="spellStart"/>
            <w:r>
              <w:rPr>
                <w:rStyle w:val="rynqvb"/>
                <w:lang w:val="en"/>
              </w:rPr>
              <w:t>instalation</w:t>
            </w:r>
            <w:proofErr w:type="spellEnd"/>
            <w:r>
              <w:t xml:space="preserve">, as </w:t>
            </w:r>
            <w:proofErr w:type="spellStart"/>
            <w:r>
              <w:t>well</w:t>
            </w:r>
            <w:proofErr w:type="spellEnd"/>
            <w:r>
              <w:t xml:space="preserve"> as warranty and service a</w:t>
            </w:r>
            <w:proofErr w:type="spellStart"/>
            <w:r>
              <w:rPr>
                <w:rStyle w:val="rynqvb"/>
                <w:lang w:val="en"/>
              </w:rPr>
              <w:t>nd</w:t>
            </w:r>
            <w:proofErr w:type="spellEnd"/>
            <w:r>
              <w:rPr>
                <w:rStyle w:val="rynqvb"/>
                <w:lang w:val="en"/>
              </w:rPr>
              <w:t xml:space="preserve"> any additional activities carried out in accordance with the contract and is not subject to indexation.</w:t>
            </w:r>
          </w:p>
          <w:p w14:paraId="7ABEEE30" w14:textId="77777777" w:rsidR="00E8561A" w:rsidRPr="00B655C8" w:rsidRDefault="00E8561A" w:rsidP="00106207">
            <w:pPr>
              <w:pStyle w:val="Akapitzlist"/>
              <w:jc w:val="both"/>
            </w:pPr>
          </w:p>
          <w:p w14:paraId="09C498CF" w14:textId="77777777" w:rsidR="00E8561A" w:rsidRPr="00CB452B" w:rsidRDefault="00E8561A" w:rsidP="00E8561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cs="Calibri"/>
                <w:lang w:val="en-US"/>
              </w:rPr>
            </w:pPr>
            <w:r>
              <w:t xml:space="preserve">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pay</w:t>
            </w:r>
            <w:proofErr w:type="spellEnd"/>
            <w:r>
              <w:t xml:space="preserve"> 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remuneration</w:t>
            </w:r>
            <w:proofErr w:type="spellEnd"/>
            <w:r w:rsidRPr="00CB452B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in three </w:t>
            </w:r>
            <w:r w:rsidRPr="00CB452B">
              <w:rPr>
                <w:rFonts w:cs="Calibri"/>
                <w:lang w:val="en-US"/>
              </w:rPr>
              <w:t>installments:</w:t>
            </w:r>
          </w:p>
          <w:p w14:paraId="5626E9EE" w14:textId="77777777" w:rsidR="00E8561A" w:rsidRPr="0024623C" w:rsidRDefault="00E8561A" w:rsidP="00E8561A">
            <w:pPr>
              <w:pStyle w:val="Akapitzlist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</w:t>
            </w:r>
            <w:r w:rsidRPr="0024623C">
              <w:rPr>
                <w:rFonts w:cs="Calibri"/>
                <w:lang w:val="en-US"/>
              </w:rPr>
              <w:t xml:space="preserve">irst </w:t>
            </w:r>
            <w:r>
              <w:rPr>
                <w:rFonts w:cs="Calibri"/>
                <w:lang w:val="en-US"/>
              </w:rPr>
              <w:t>installment</w:t>
            </w:r>
            <w:r w:rsidRPr="0024623C">
              <w:rPr>
                <w:rFonts w:cs="Calibri"/>
                <w:lang w:val="en-US"/>
              </w:rPr>
              <w:t xml:space="preserve"> in the amount of 30% of the Contractor's total lump sum remuneration will be paid after signing the contract (based on an invoice with a 30-day payment deadline),</w:t>
            </w:r>
          </w:p>
          <w:p w14:paraId="2DE93A29" w14:textId="77777777" w:rsidR="00E8561A" w:rsidRPr="0024623C" w:rsidRDefault="00E8561A" w:rsidP="00E8561A">
            <w:pPr>
              <w:pStyle w:val="Akapitzlist"/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</w:t>
            </w:r>
            <w:r w:rsidRPr="0024623C">
              <w:rPr>
                <w:rFonts w:cs="Calibri"/>
                <w:lang w:val="en-US"/>
              </w:rPr>
              <w:t xml:space="preserve">econd </w:t>
            </w:r>
            <w:r>
              <w:rPr>
                <w:rFonts w:cs="Calibri"/>
                <w:lang w:val="en-US"/>
              </w:rPr>
              <w:t>installment</w:t>
            </w:r>
            <w:r w:rsidRPr="0024623C">
              <w:rPr>
                <w:rFonts w:cs="Calibri"/>
                <w:lang w:val="en-US"/>
              </w:rPr>
              <w:t xml:space="preserve"> in the amount of 60% of the Contractor's total lump sum remuneration will be paid after delivery of the subject of the contract to the Ordering Party (based on an invoice with a 30-day payment deadline),</w:t>
            </w:r>
          </w:p>
          <w:p w14:paraId="6769038B" w14:textId="77777777" w:rsidR="00E8561A" w:rsidRDefault="00E8561A" w:rsidP="00E8561A">
            <w:pPr>
              <w:pStyle w:val="Akapitzlist"/>
              <w:numPr>
                <w:ilvl w:val="1"/>
                <w:numId w:val="27"/>
              </w:numPr>
              <w:spacing w:after="0" w:line="240" w:lineRule="auto"/>
              <w:contextualSpacing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</w:t>
            </w:r>
            <w:r w:rsidRPr="0024623C">
              <w:rPr>
                <w:rFonts w:cs="Calibri"/>
                <w:lang w:val="en-US"/>
              </w:rPr>
              <w:t xml:space="preserve">hird </w:t>
            </w:r>
            <w:r>
              <w:rPr>
                <w:rFonts w:cs="Calibri"/>
                <w:lang w:val="en-US"/>
              </w:rPr>
              <w:t>installment</w:t>
            </w:r>
            <w:r w:rsidRPr="0024623C">
              <w:rPr>
                <w:rFonts w:cs="Calibri"/>
                <w:lang w:val="en-US"/>
              </w:rPr>
              <w:t xml:space="preserve"> in the amount of 10% of the Contractor's total lump sum remuneration will be paid after the contract has been completed and the handover protocol has been signed without any </w:t>
            </w:r>
            <w:r>
              <w:rPr>
                <w:rFonts w:cs="Calibri"/>
                <w:lang w:val="en-US"/>
              </w:rPr>
              <w:t>reservations</w:t>
            </w:r>
            <w:r w:rsidRPr="0024623C">
              <w:rPr>
                <w:rFonts w:cs="Calibri"/>
                <w:lang w:val="en-US"/>
              </w:rPr>
              <w:t xml:space="preserve"> (based on an invoice with a 30-day payment deadline).</w:t>
            </w:r>
          </w:p>
          <w:p w14:paraId="42B9E4BB" w14:textId="77777777" w:rsidR="00E8561A" w:rsidRDefault="00E8561A" w:rsidP="00106207">
            <w:pPr>
              <w:jc w:val="both"/>
            </w:pPr>
          </w:p>
          <w:p w14:paraId="7088AFB9" w14:textId="77777777" w:rsidR="00E8561A" w:rsidRPr="00B655C8" w:rsidRDefault="00E8561A" w:rsidP="00106207">
            <w:pPr>
              <w:ind w:left="708"/>
              <w:jc w:val="both"/>
            </w:pPr>
            <w:r>
              <w:t xml:space="preserve">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entitled</w:t>
            </w:r>
            <w:proofErr w:type="spellEnd"/>
            <w:r>
              <w:t xml:space="preserve"> to </w:t>
            </w:r>
            <w:proofErr w:type="spellStart"/>
            <w:r>
              <w:t>deduct</w:t>
            </w:r>
            <w:proofErr w:type="spellEnd"/>
            <w:r>
              <w:t xml:space="preserve"> </w:t>
            </w:r>
            <w:proofErr w:type="spellStart"/>
            <w:r>
              <w:t>amounts</w:t>
            </w:r>
            <w:proofErr w:type="spellEnd"/>
            <w:r>
              <w:t xml:space="preserve"> </w:t>
            </w:r>
            <w:proofErr w:type="spellStart"/>
            <w:r>
              <w:t>due</w:t>
            </w:r>
            <w:proofErr w:type="spellEnd"/>
            <w:r>
              <w:t xml:space="preserve"> to the </w:t>
            </w:r>
            <w:proofErr w:type="spellStart"/>
            <w:r>
              <w:t>Ordering</w:t>
            </w:r>
            <w:proofErr w:type="spellEnd"/>
            <w:r>
              <w:t xml:space="preserve"> Party from the </w:t>
            </w:r>
            <w:proofErr w:type="spellStart"/>
            <w:r>
              <w:t>Contractor</w:t>
            </w:r>
            <w:proofErr w:type="spellEnd"/>
            <w:r>
              <w:t xml:space="preserve"> as a </w:t>
            </w:r>
            <w:proofErr w:type="spellStart"/>
            <w:r>
              <w:t>result</w:t>
            </w:r>
            <w:proofErr w:type="spellEnd"/>
            <w:r>
              <w:t xml:space="preserve"> of non-performance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improper</w:t>
            </w:r>
            <w:proofErr w:type="spellEnd"/>
            <w:r>
              <w:t xml:space="preserve"> performance of the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the </w:t>
            </w:r>
            <w:proofErr w:type="spellStart"/>
            <w:r>
              <w:t>Contractor's</w:t>
            </w:r>
            <w:proofErr w:type="spellEnd"/>
            <w:r>
              <w:t xml:space="preserve"> </w:t>
            </w:r>
            <w:proofErr w:type="spellStart"/>
            <w:r>
              <w:t>remuneration</w:t>
            </w:r>
            <w:proofErr w:type="spellEnd"/>
            <w:r>
              <w:t>.</w:t>
            </w:r>
          </w:p>
          <w:p w14:paraId="46CA4B96" w14:textId="77777777" w:rsidR="00E8561A" w:rsidRPr="00B655C8" w:rsidRDefault="00E8561A" w:rsidP="00106207">
            <w:pPr>
              <w:pStyle w:val="Akapitzlist"/>
              <w:ind w:left="1080"/>
              <w:jc w:val="both"/>
            </w:pPr>
          </w:p>
          <w:p w14:paraId="59C28B3D" w14:textId="77777777" w:rsidR="00E8561A" w:rsidRDefault="00E8561A" w:rsidP="00E8561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</w:pPr>
            <w:proofErr w:type="spellStart"/>
            <w:r>
              <w:t>Contractual</w:t>
            </w:r>
            <w:proofErr w:type="spellEnd"/>
            <w:r>
              <w:t xml:space="preserve"> </w:t>
            </w:r>
            <w:proofErr w:type="spellStart"/>
            <w:r>
              <w:t>penalties</w:t>
            </w:r>
            <w:proofErr w:type="spellEnd"/>
            <w:r>
              <w:t>:</w:t>
            </w:r>
          </w:p>
          <w:p w14:paraId="17648385" w14:textId="77777777" w:rsidR="00E8561A" w:rsidRDefault="00E8561A" w:rsidP="00106207">
            <w:pPr>
              <w:pStyle w:val="Akapitzlist"/>
              <w:ind w:left="1440"/>
              <w:jc w:val="both"/>
            </w:pPr>
            <w:r>
              <w:lastRenderedPageBreak/>
              <w:t xml:space="preserve">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obliged</w:t>
            </w:r>
            <w:proofErr w:type="spellEnd"/>
            <w:r>
              <w:t xml:space="preserve"> to </w:t>
            </w:r>
            <w:proofErr w:type="spellStart"/>
            <w:r>
              <w:t>pay</w:t>
            </w:r>
            <w:proofErr w:type="spellEnd"/>
            <w:r>
              <w:t xml:space="preserve"> 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contractual</w:t>
            </w:r>
            <w:proofErr w:type="spellEnd"/>
            <w:r>
              <w:t xml:space="preserve"> </w:t>
            </w:r>
            <w:proofErr w:type="spellStart"/>
            <w:r>
              <w:t>penalties</w:t>
            </w:r>
            <w:proofErr w:type="spellEnd"/>
            <w:r>
              <w:t xml:space="preserve"> in the event of </w:t>
            </w:r>
            <w:proofErr w:type="spellStart"/>
            <w:r>
              <w:t>delay</w:t>
            </w:r>
            <w:proofErr w:type="spellEnd"/>
            <w:r>
              <w:t xml:space="preserve"> in the performance of the </w:t>
            </w:r>
            <w:proofErr w:type="spellStart"/>
            <w:r>
              <w:t>Contract</w:t>
            </w:r>
            <w:proofErr w:type="spellEnd"/>
            <w:r>
              <w:rPr>
                <w:rStyle w:val="rynqvb"/>
                <w:lang w:val="en"/>
              </w:rPr>
              <w:t xml:space="preserve"> </w:t>
            </w:r>
            <w:r>
              <w:t xml:space="preserve">in the </w:t>
            </w:r>
            <w:proofErr w:type="spellStart"/>
            <w:r>
              <w:t>amount</w:t>
            </w:r>
            <w:proofErr w:type="spellEnd"/>
            <w:r>
              <w:t xml:space="preserve"> of 0,5% % of the </w:t>
            </w:r>
            <w:proofErr w:type="spellStart"/>
            <w:r>
              <w:t>gross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for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of </w:t>
            </w:r>
            <w:proofErr w:type="spellStart"/>
            <w:r>
              <w:t>delay</w:t>
            </w:r>
            <w:proofErr w:type="spellEnd"/>
            <w:r>
              <w:t xml:space="preserve">, </w:t>
            </w:r>
            <w:r>
              <w:rPr>
                <w:rStyle w:val="rynqvb"/>
                <w:lang w:val="en"/>
              </w:rPr>
              <w:t>and in the event of withdrawal from the contract for reasons attributable to the Contractor in the amount of 10 % of the gross contract value.</w:t>
            </w:r>
            <w:r>
              <w:t xml:space="preserve"> 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entitled</w:t>
            </w:r>
            <w:proofErr w:type="spellEnd"/>
            <w:r>
              <w:t xml:space="preserve"> to </w:t>
            </w:r>
            <w:proofErr w:type="spellStart"/>
            <w:r>
              <w:t>claim</w:t>
            </w:r>
            <w:proofErr w:type="spellEnd"/>
            <w:r>
              <w:t xml:space="preserve"> </w:t>
            </w:r>
            <w:proofErr w:type="spellStart"/>
            <w:r>
              <w:t>compensation</w:t>
            </w:r>
            <w:proofErr w:type="spellEnd"/>
            <w:r>
              <w:t xml:space="preserve"> </w:t>
            </w:r>
            <w:proofErr w:type="spellStart"/>
            <w:r>
              <w:t>exceeding</w:t>
            </w:r>
            <w:proofErr w:type="spellEnd"/>
            <w:r>
              <w:t xml:space="preserve"> the </w:t>
            </w:r>
            <w:proofErr w:type="spellStart"/>
            <w:r>
              <w:t>amount</w:t>
            </w:r>
            <w:proofErr w:type="spellEnd"/>
            <w:r>
              <w:t xml:space="preserve"> of the </w:t>
            </w:r>
            <w:proofErr w:type="spellStart"/>
            <w:r>
              <w:t>contractual</w:t>
            </w:r>
            <w:proofErr w:type="spellEnd"/>
            <w:r>
              <w:t xml:space="preserve"> </w:t>
            </w:r>
            <w:proofErr w:type="spellStart"/>
            <w:r>
              <w:t>penalties</w:t>
            </w:r>
            <w:proofErr w:type="spellEnd"/>
            <w:r>
              <w:t xml:space="preserve"> </w:t>
            </w:r>
            <w:proofErr w:type="spellStart"/>
            <w:r>
              <w:t>charged</w:t>
            </w:r>
            <w:proofErr w:type="spellEnd"/>
            <w:r>
              <w:t>.</w:t>
            </w:r>
          </w:p>
          <w:p w14:paraId="06164F6D" w14:textId="77777777" w:rsidR="00E8561A" w:rsidRPr="00F16B23" w:rsidRDefault="00E8561A" w:rsidP="00106207">
            <w:pPr>
              <w:pStyle w:val="Akapitzlist"/>
              <w:ind w:left="1440"/>
              <w:jc w:val="both"/>
            </w:pPr>
          </w:p>
          <w:p w14:paraId="20F1AE5D" w14:textId="77777777" w:rsidR="00E8561A" w:rsidRDefault="00E8561A" w:rsidP="00E8561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</w:pPr>
            <w:proofErr w:type="spellStart"/>
            <w:r>
              <w:t>Contractual</w:t>
            </w:r>
            <w:proofErr w:type="spellEnd"/>
            <w:r>
              <w:t xml:space="preserve"> warranty </w:t>
            </w:r>
            <w:proofErr w:type="spellStart"/>
            <w:r>
              <w:t>terms</w:t>
            </w:r>
            <w:proofErr w:type="spellEnd"/>
            <w:r>
              <w:t>:</w:t>
            </w:r>
          </w:p>
          <w:p w14:paraId="72BAEE3D" w14:textId="77777777" w:rsidR="00E8561A" w:rsidRDefault="00E8561A" w:rsidP="00E8561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</w:pPr>
            <w:r>
              <w:t xml:space="preserve">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the </w:t>
            </w:r>
            <w:proofErr w:type="spellStart"/>
            <w:r>
              <w:t>Ordering</w:t>
            </w:r>
            <w:proofErr w:type="spellEnd"/>
            <w:r>
              <w:t xml:space="preserve"> Party with 24 - </w:t>
            </w:r>
            <w:proofErr w:type="spellStart"/>
            <w:r>
              <w:t>month</w:t>
            </w:r>
            <w:proofErr w:type="spellEnd"/>
            <w:r>
              <w:t xml:space="preserve"> </w:t>
            </w:r>
            <w:proofErr w:type="spellStart"/>
            <w:r>
              <w:t>contractual</w:t>
            </w:r>
            <w:proofErr w:type="spellEnd"/>
            <w:r>
              <w:t xml:space="preserve"> warranty for the </w:t>
            </w:r>
            <w:proofErr w:type="spellStart"/>
            <w:r>
              <w:t>subject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 xml:space="preserve">, </w:t>
            </w:r>
            <w:proofErr w:type="spellStart"/>
            <w:r>
              <w:t>counted</w:t>
            </w:r>
            <w:proofErr w:type="spellEnd"/>
            <w:r>
              <w:t xml:space="preserve"> from the moment of </w:t>
            </w:r>
            <w:proofErr w:type="spellStart"/>
            <w:r>
              <w:t>signing</w:t>
            </w:r>
            <w:proofErr w:type="spellEnd"/>
            <w:r>
              <w:t xml:space="preserve"> the </w:t>
            </w:r>
            <w:proofErr w:type="spellStart"/>
            <w:r>
              <w:t>handover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reservations</w:t>
            </w:r>
            <w:proofErr w:type="spellEnd"/>
            <w:r>
              <w:t xml:space="preserve">. </w:t>
            </w:r>
            <w:proofErr w:type="spellStart"/>
            <w:r>
              <w:t>During</w:t>
            </w:r>
            <w:proofErr w:type="spellEnd"/>
            <w:r>
              <w:t xml:space="preserve"> the </w:t>
            </w:r>
            <w:proofErr w:type="spellStart"/>
            <w:r>
              <w:t>contractual</w:t>
            </w:r>
            <w:proofErr w:type="spellEnd"/>
            <w:r>
              <w:t xml:space="preserve"> warranty period, 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obliged</w:t>
            </w:r>
            <w:proofErr w:type="spellEnd"/>
            <w:r>
              <w:t xml:space="preserve"> to </w:t>
            </w:r>
            <w:proofErr w:type="spellStart"/>
            <w:r>
              <w:t>repair</w:t>
            </w:r>
            <w:proofErr w:type="spellEnd"/>
            <w:r>
              <w:t xml:space="preserve"> and </w:t>
            </w:r>
            <w:proofErr w:type="spellStart"/>
            <w:r>
              <w:t>remove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defects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faults</w:t>
            </w:r>
            <w:proofErr w:type="spellEnd"/>
            <w:r>
              <w:t xml:space="preserve"> in the products (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replacements</w:t>
            </w:r>
            <w:proofErr w:type="spellEnd"/>
            <w:r>
              <w:t xml:space="preserve">) </w:t>
            </w:r>
            <w:proofErr w:type="spellStart"/>
            <w:r>
              <w:t>revealed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warranty period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expense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with the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  <w:proofErr w:type="spellStart"/>
            <w:r>
              <w:t>issued</w:t>
            </w:r>
            <w:proofErr w:type="spellEnd"/>
            <w:r>
              <w:t xml:space="preserve"> by the </w:t>
            </w:r>
            <w:proofErr w:type="spellStart"/>
            <w:r>
              <w:t>Ordering</w:t>
            </w:r>
            <w:proofErr w:type="spellEnd"/>
            <w:r>
              <w:t xml:space="preserve"> Party. 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covers</w:t>
            </w:r>
            <w:proofErr w:type="spellEnd"/>
            <w:r>
              <w:t xml:space="preserve"> the </w:t>
            </w:r>
            <w:proofErr w:type="spellStart"/>
            <w:r>
              <w:t>costs</w:t>
            </w:r>
            <w:proofErr w:type="spellEnd"/>
            <w:r>
              <w:t xml:space="preserve"> of </w:t>
            </w:r>
            <w:proofErr w:type="spellStart"/>
            <w:r>
              <w:t>any</w:t>
            </w:r>
            <w:proofErr w:type="spellEnd"/>
            <w:r>
              <w:t xml:space="preserve"> transport.</w:t>
            </w:r>
          </w:p>
          <w:p w14:paraId="08528CCE" w14:textId="77777777" w:rsidR="00E8561A" w:rsidRDefault="00E8561A" w:rsidP="00E8561A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jc w:val="both"/>
            </w:pPr>
            <w:proofErr w:type="spellStart"/>
            <w:r>
              <w:t>If</w:t>
            </w:r>
            <w:proofErr w:type="spellEnd"/>
            <w:r>
              <w:t xml:space="preserve"> 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proceed</w:t>
            </w:r>
            <w:proofErr w:type="spellEnd"/>
            <w:r>
              <w:t xml:space="preserve"> to </w:t>
            </w:r>
            <w:proofErr w:type="spellStart"/>
            <w:r>
              <w:t>remove</w:t>
            </w:r>
            <w:proofErr w:type="spellEnd"/>
            <w:r>
              <w:t xml:space="preserve"> the </w:t>
            </w:r>
            <w:proofErr w:type="spellStart"/>
            <w:r>
              <w:t>defects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faults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remove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the </w:t>
            </w:r>
            <w:proofErr w:type="spellStart"/>
            <w:r>
              <w:t>indicated</w:t>
            </w:r>
            <w:proofErr w:type="spellEnd"/>
            <w:r>
              <w:t xml:space="preserve"> period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removes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improperly</w:t>
            </w:r>
            <w:proofErr w:type="spellEnd"/>
            <w:r>
              <w:t xml:space="preserve">, 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has</w:t>
            </w:r>
            <w:proofErr w:type="spellEnd"/>
            <w:r>
              <w:t xml:space="preserve"> the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entrust</w:t>
            </w:r>
            <w:proofErr w:type="spellEnd"/>
            <w:r>
              <w:t xml:space="preserve"> the </w:t>
            </w:r>
            <w:proofErr w:type="spellStart"/>
            <w:r>
              <w:t>removal</w:t>
            </w:r>
            <w:proofErr w:type="spellEnd"/>
            <w:r>
              <w:t xml:space="preserve"> of </w:t>
            </w:r>
            <w:proofErr w:type="spellStart"/>
            <w:r>
              <w:t>defects</w:t>
            </w:r>
            <w:proofErr w:type="spellEnd"/>
            <w:r>
              <w:t xml:space="preserve"> to a third party </w:t>
            </w:r>
            <w:proofErr w:type="spellStart"/>
            <w:r>
              <w:t>at</w:t>
            </w:r>
            <w:proofErr w:type="spellEnd"/>
            <w:r>
              <w:t xml:space="preserve"> the </w:t>
            </w:r>
            <w:proofErr w:type="spellStart"/>
            <w:r>
              <w:t>Contractor's</w:t>
            </w:r>
            <w:proofErr w:type="spellEnd"/>
            <w:r>
              <w:t xml:space="preserve"> </w:t>
            </w:r>
            <w:proofErr w:type="spellStart"/>
            <w:r>
              <w:t>expense</w:t>
            </w:r>
            <w:proofErr w:type="spellEnd"/>
            <w:r>
              <w:t xml:space="preserve"> and </w:t>
            </w:r>
            <w:proofErr w:type="spellStart"/>
            <w:r>
              <w:t>risk</w:t>
            </w:r>
            <w:proofErr w:type="spellEnd"/>
            <w:r>
              <w:t xml:space="preserve">, </w:t>
            </w:r>
            <w:proofErr w:type="spellStart"/>
            <w:r>
              <w:t>demanding</w:t>
            </w:r>
            <w:proofErr w:type="spellEnd"/>
            <w:r>
              <w:t xml:space="preserve"> </w:t>
            </w:r>
            <w:proofErr w:type="spellStart"/>
            <w:r>
              <w:t>reimbursement</w:t>
            </w:r>
            <w:proofErr w:type="spellEnd"/>
            <w:r>
              <w:t xml:space="preserve"> of the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incurred</w:t>
            </w:r>
            <w:proofErr w:type="spellEnd"/>
            <w:r>
              <w:t xml:space="preserve"> from the </w:t>
            </w:r>
            <w:proofErr w:type="spellStart"/>
            <w:r>
              <w:t>Contractor</w:t>
            </w:r>
            <w:proofErr w:type="spellEnd"/>
            <w:r>
              <w:t xml:space="preserve">. 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released</w:t>
            </w:r>
            <w:proofErr w:type="spellEnd"/>
            <w:r>
              <w:t xml:space="preserve"> from the warranty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respect</w:t>
            </w:r>
            <w:proofErr w:type="spellEnd"/>
            <w:r>
              <w:t>.</w:t>
            </w:r>
          </w:p>
          <w:p w14:paraId="61F06B03" w14:textId="77777777" w:rsidR="00E8561A" w:rsidRPr="00B655C8" w:rsidRDefault="00E8561A" w:rsidP="00106207">
            <w:pPr>
              <w:pStyle w:val="Akapitzlist"/>
              <w:jc w:val="both"/>
            </w:pPr>
          </w:p>
          <w:p w14:paraId="5F464A6C" w14:textId="77777777" w:rsidR="00E8561A" w:rsidRDefault="00E8561A" w:rsidP="00E8561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</w:pPr>
            <w:proofErr w:type="spellStart"/>
            <w:r>
              <w:t>Conditions</w:t>
            </w:r>
            <w:proofErr w:type="spellEnd"/>
            <w:r>
              <w:t xml:space="preserve"> for </w:t>
            </w:r>
            <w:proofErr w:type="spellStart"/>
            <w:r>
              <w:t>amending</w:t>
            </w:r>
            <w:proofErr w:type="spellEnd"/>
            <w:r>
              <w:t xml:space="preserve"> the </w:t>
            </w:r>
            <w:proofErr w:type="spellStart"/>
            <w:r>
              <w:t>contract</w:t>
            </w:r>
            <w:proofErr w:type="spellEnd"/>
            <w:r>
              <w:t>:</w:t>
            </w:r>
          </w:p>
          <w:p w14:paraId="26A20680" w14:textId="77777777" w:rsidR="00E8561A" w:rsidRDefault="00E8561A" w:rsidP="00106207">
            <w:pPr>
              <w:jc w:val="both"/>
            </w:pPr>
            <w:r>
              <w:t xml:space="preserve">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provides</w:t>
            </w:r>
            <w:proofErr w:type="spellEnd"/>
            <w:r>
              <w:t xml:space="preserve"> for the </w:t>
            </w:r>
            <w:proofErr w:type="spellStart"/>
            <w:r>
              <w:t>possibility</w:t>
            </w:r>
            <w:proofErr w:type="spellEnd"/>
            <w:r>
              <w:t xml:space="preserve"> of </w:t>
            </w:r>
            <w:proofErr w:type="spellStart"/>
            <w:r>
              <w:t>changing</w:t>
            </w:r>
            <w:proofErr w:type="spellEnd"/>
            <w:r>
              <w:t xml:space="preserve"> the </w:t>
            </w:r>
            <w:proofErr w:type="spellStart"/>
            <w:r>
              <w:t>provisions</w:t>
            </w:r>
            <w:proofErr w:type="spellEnd"/>
            <w:r>
              <w:t xml:space="preserve"> of the </w:t>
            </w:r>
            <w:proofErr w:type="spellStart"/>
            <w:r>
              <w:t>concluded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 xml:space="preserve"> in 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cases</w:t>
            </w:r>
            <w:proofErr w:type="spellEnd"/>
            <w:r>
              <w:t>:</w:t>
            </w:r>
          </w:p>
          <w:p w14:paraId="30E01A3E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temporary</w:t>
            </w:r>
            <w:proofErr w:type="spellEnd"/>
            <w:r>
              <w:t xml:space="preserve"> suspension of the </w:t>
            </w:r>
            <w:proofErr w:type="spellStart"/>
            <w:r>
              <w:t>implementation</w:t>
            </w:r>
            <w:proofErr w:type="spellEnd"/>
            <w:r>
              <w:t xml:space="preserve"> of the Project by 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resulting</w:t>
            </w:r>
            <w:proofErr w:type="spellEnd"/>
            <w:r>
              <w:t xml:space="preserve"> from </w:t>
            </w:r>
            <w:proofErr w:type="spellStart"/>
            <w:r>
              <w:t>objective</w:t>
            </w:r>
            <w:proofErr w:type="spellEnd"/>
            <w:r>
              <w:t xml:space="preserve"> and </w:t>
            </w:r>
            <w:proofErr w:type="spellStart"/>
            <w:r>
              <w:t>justified</w:t>
            </w:r>
            <w:proofErr w:type="spellEnd"/>
            <w:r>
              <w:t xml:space="preserve"> </w:t>
            </w:r>
            <w:proofErr w:type="spellStart"/>
            <w:r>
              <w:t>reasons</w:t>
            </w:r>
            <w:proofErr w:type="spellEnd"/>
            <w:r>
              <w:t>;</w:t>
            </w:r>
          </w:p>
          <w:p w14:paraId="205B89C7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delays</w:t>
            </w:r>
            <w:proofErr w:type="spellEnd"/>
            <w:r>
              <w:t xml:space="preserve"> in the </w:t>
            </w:r>
            <w:proofErr w:type="spellStart"/>
            <w:r>
              <w:t>implementation</w:t>
            </w:r>
            <w:proofErr w:type="spellEnd"/>
            <w:r>
              <w:t xml:space="preserve"> of the service, </w:t>
            </w:r>
            <w:proofErr w:type="spellStart"/>
            <w:r>
              <w:t>delivery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</w:t>
            </w:r>
            <w:proofErr w:type="spellStart"/>
            <w:r>
              <w:t>carried</w:t>
            </w:r>
            <w:proofErr w:type="spellEnd"/>
            <w:r>
              <w:t xml:space="preserve"> out </w:t>
            </w:r>
            <w:proofErr w:type="spellStart"/>
            <w:r>
              <w:t>under</w:t>
            </w:r>
            <w:proofErr w:type="spellEnd"/>
            <w:r>
              <w:t xml:space="preserve"> the Project </w:t>
            </w:r>
            <w:proofErr w:type="spellStart"/>
            <w:r>
              <w:t>affecting</w:t>
            </w:r>
            <w:proofErr w:type="spellEnd"/>
            <w:r>
              <w:t xml:space="preserve"> the </w:t>
            </w:r>
            <w:proofErr w:type="spellStart"/>
            <w:r>
              <w:t>deadlines</w:t>
            </w:r>
            <w:proofErr w:type="spellEnd"/>
            <w:r>
              <w:t xml:space="preserve"> for the performance of the </w:t>
            </w:r>
            <w:proofErr w:type="spellStart"/>
            <w:r>
              <w:t>contract</w:t>
            </w:r>
            <w:proofErr w:type="spellEnd"/>
            <w:r>
              <w:t>;</w:t>
            </w:r>
          </w:p>
          <w:p w14:paraId="72C1552E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changes</w:t>
            </w:r>
            <w:proofErr w:type="spellEnd"/>
            <w:r>
              <w:t xml:space="preserve"> in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provisions</w:t>
            </w:r>
            <w:proofErr w:type="spellEnd"/>
            <w:r>
              <w:t xml:space="preserve">, </w:t>
            </w:r>
            <w:proofErr w:type="spellStart"/>
            <w:r>
              <w:t>norms</w:t>
            </w:r>
            <w:proofErr w:type="spellEnd"/>
            <w:r>
              <w:t xml:space="preserve">, </w:t>
            </w:r>
            <w:proofErr w:type="spellStart"/>
            <w:r>
              <w:t>standards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, </w:t>
            </w:r>
            <w:proofErr w:type="spellStart"/>
            <w:r>
              <w:t>actions</w:t>
            </w:r>
            <w:proofErr w:type="spellEnd"/>
            <w:r>
              <w:t xml:space="preserve"> of public </w:t>
            </w:r>
            <w:proofErr w:type="spellStart"/>
            <w:r>
              <w:t>administration</w:t>
            </w:r>
            <w:proofErr w:type="spellEnd"/>
            <w:r>
              <w:t xml:space="preserve"> </w:t>
            </w:r>
            <w:proofErr w:type="spellStart"/>
            <w:r>
              <w:t>bodies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  <w:r>
              <w:t xml:space="preserve"> of third </w:t>
            </w:r>
            <w:proofErr w:type="spellStart"/>
            <w:r>
              <w:t>parties</w:t>
            </w:r>
            <w:proofErr w:type="spellEnd"/>
            <w:r>
              <w:t xml:space="preserve"> </w:t>
            </w:r>
            <w:proofErr w:type="spellStart"/>
            <w:r>
              <w:t>requiring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to the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specifications</w:t>
            </w:r>
            <w:proofErr w:type="spellEnd"/>
            <w:r>
              <w:t xml:space="preserve"> of the </w:t>
            </w:r>
            <w:proofErr w:type="spellStart"/>
            <w:r>
              <w:t>subject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>;</w:t>
            </w:r>
          </w:p>
          <w:p w14:paraId="7DEDC742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introducing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to the </w:t>
            </w:r>
            <w:proofErr w:type="spellStart"/>
            <w:r>
              <w:t>adopted</w:t>
            </w:r>
            <w:proofErr w:type="spellEnd"/>
            <w:r>
              <w:t xml:space="preserve"> </w:t>
            </w:r>
            <w:proofErr w:type="spellStart"/>
            <w:r>
              <w:t>assumptions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the </w:t>
            </w:r>
            <w:proofErr w:type="spellStart"/>
            <w:r>
              <w:t>subject</w:t>
            </w:r>
            <w:proofErr w:type="spellEnd"/>
            <w:r>
              <w:t xml:space="preserve"> of the order </w:t>
            </w:r>
            <w:proofErr w:type="spellStart"/>
            <w:r>
              <w:t>justified</w:t>
            </w:r>
            <w:proofErr w:type="spellEnd"/>
            <w:r>
              <w:t xml:space="preserve"> by </w:t>
            </w:r>
            <w:proofErr w:type="spellStart"/>
            <w:r>
              <w:t>substantive</w:t>
            </w:r>
            <w:proofErr w:type="spellEnd"/>
            <w:r>
              <w:t xml:space="preserve">, </w:t>
            </w:r>
            <w:proofErr w:type="spellStart"/>
            <w:r>
              <w:t>technical</w:t>
            </w:r>
            <w:proofErr w:type="spellEnd"/>
            <w:r>
              <w:t xml:space="preserve">, </w:t>
            </w:r>
            <w:proofErr w:type="spellStart"/>
            <w:r>
              <w:t>functional</w:t>
            </w:r>
            <w:proofErr w:type="spellEnd"/>
            <w:r>
              <w:t xml:space="preserve"> and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reasons</w:t>
            </w:r>
            <w:proofErr w:type="spellEnd"/>
            <w:r>
              <w:t>;</w:t>
            </w:r>
          </w:p>
          <w:p w14:paraId="2602316E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loss</w:t>
            </w:r>
            <w:proofErr w:type="spellEnd"/>
            <w:r>
              <w:t xml:space="preserve"> of non-</w:t>
            </w:r>
            <w:proofErr w:type="spellStart"/>
            <w:r>
              <w:t>repayable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from the development plan as part of the investment A.2.1.1. </w:t>
            </w:r>
            <w:proofErr w:type="spellStart"/>
            <w:r>
              <w:t>under</w:t>
            </w:r>
            <w:proofErr w:type="spellEnd"/>
            <w:r>
              <w:t xml:space="preserve"> the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Investments</w:t>
            </w:r>
            <w:proofErr w:type="spellEnd"/>
            <w:r>
              <w:t xml:space="preserve">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robotization</w:t>
            </w:r>
            <w:proofErr w:type="spellEnd"/>
            <w:r>
              <w:t xml:space="preserve"> and </w:t>
            </w:r>
            <w:proofErr w:type="spellStart"/>
            <w:r>
              <w:t>digitalization</w:t>
            </w:r>
            <w:proofErr w:type="spellEnd"/>
            <w:r>
              <w:t xml:space="preserve"> in enterprises of the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Recovery</w:t>
            </w:r>
            <w:proofErr w:type="spellEnd"/>
            <w:r>
              <w:t xml:space="preserve"> and </w:t>
            </w:r>
            <w:proofErr w:type="spellStart"/>
            <w:r>
              <w:t>Resilience</w:t>
            </w:r>
            <w:proofErr w:type="spellEnd"/>
            <w:r>
              <w:t xml:space="preserve"> Plan and the </w:t>
            </w:r>
            <w:proofErr w:type="spellStart"/>
            <w:r>
              <w:t>need</w:t>
            </w:r>
            <w:proofErr w:type="spellEnd"/>
            <w:r>
              <w:t xml:space="preserve"> to </w:t>
            </w:r>
            <w:proofErr w:type="spellStart"/>
            <w:r>
              <w:t>obtain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financing</w:t>
            </w:r>
            <w:proofErr w:type="spellEnd"/>
            <w:r>
              <w:t xml:space="preserve"> for the Project;</w:t>
            </w:r>
          </w:p>
          <w:p w14:paraId="3D2F0594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detecting</w:t>
            </w:r>
            <w:proofErr w:type="spellEnd"/>
            <w:r>
              <w:t xml:space="preserve"> </w:t>
            </w:r>
            <w:proofErr w:type="spellStart"/>
            <w:r>
              <w:t>errors</w:t>
            </w:r>
            <w:proofErr w:type="spellEnd"/>
            <w:r>
              <w:t xml:space="preserve">, </w:t>
            </w:r>
            <w:proofErr w:type="spellStart"/>
            <w:r>
              <w:t>discrepancies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ambiguities</w:t>
            </w:r>
            <w:proofErr w:type="spellEnd"/>
            <w:r>
              <w:t xml:space="preserve"> in the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cannot</w:t>
            </w:r>
            <w:proofErr w:type="spellEnd"/>
            <w:r>
              <w:t xml:space="preserve"> be </w:t>
            </w:r>
            <w:proofErr w:type="spellStart"/>
            <w:r>
              <w:t>removed</w:t>
            </w:r>
            <w:proofErr w:type="spellEnd"/>
            <w:r>
              <w:t xml:space="preserve"> in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, and the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enable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removal</w:t>
            </w:r>
            <w:proofErr w:type="spellEnd"/>
            <w:r>
              <w:t xml:space="preserve"> and </w:t>
            </w:r>
            <w:proofErr w:type="spellStart"/>
            <w:r>
              <w:t>clarification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 xml:space="preserve"> in </w:t>
            </w:r>
            <w:proofErr w:type="spellStart"/>
            <w:r>
              <w:t>accordance</w:t>
            </w:r>
            <w:proofErr w:type="spellEnd"/>
            <w:r>
              <w:t xml:space="preserve"> with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for the </w:t>
            </w:r>
            <w:proofErr w:type="spellStart"/>
            <w:r>
              <w:t>purpose</w:t>
            </w:r>
            <w:proofErr w:type="spellEnd"/>
            <w:r>
              <w:t xml:space="preserve"> of </w:t>
            </w:r>
            <w:proofErr w:type="spellStart"/>
            <w:r>
              <w:t>unambiguous</w:t>
            </w:r>
            <w:proofErr w:type="spellEnd"/>
            <w:r>
              <w:t xml:space="preserve"> </w:t>
            </w:r>
            <w:proofErr w:type="spellStart"/>
            <w:r>
              <w:t>interpretation</w:t>
            </w:r>
            <w:proofErr w:type="spellEnd"/>
            <w:r>
              <w:t xml:space="preserve"> of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provisions</w:t>
            </w:r>
            <w:proofErr w:type="spellEnd"/>
            <w:r>
              <w:t xml:space="preserve"> by the </w:t>
            </w:r>
            <w:proofErr w:type="spellStart"/>
            <w:r>
              <w:t>Contractor</w:t>
            </w:r>
            <w:proofErr w:type="spellEnd"/>
            <w:r>
              <w:t xml:space="preserve"> and the </w:t>
            </w:r>
            <w:proofErr w:type="spellStart"/>
            <w:r>
              <w:t>Ordering</w:t>
            </w:r>
            <w:proofErr w:type="spellEnd"/>
            <w:r>
              <w:t xml:space="preserve"> Party;</w:t>
            </w:r>
          </w:p>
          <w:p w14:paraId="4FF5D695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occurrence</w:t>
            </w:r>
            <w:proofErr w:type="spellEnd"/>
            <w:r>
              <w:t xml:space="preserve"> of </w:t>
            </w:r>
            <w:proofErr w:type="spellStart"/>
            <w:r>
              <w:t>force</w:t>
            </w:r>
            <w:proofErr w:type="spellEnd"/>
            <w:r>
              <w:t xml:space="preserve"> </w:t>
            </w:r>
            <w:proofErr w:type="spellStart"/>
            <w:r>
              <w:t>majeure</w:t>
            </w:r>
            <w:proofErr w:type="spellEnd"/>
            <w:r>
              <w:t xml:space="preserve"> - </w:t>
            </w:r>
            <w:proofErr w:type="spellStart"/>
            <w:r>
              <w:t>if</w:t>
            </w:r>
            <w:proofErr w:type="spellEnd"/>
            <w:r>
              <w:t xml:space="preserve"> the </w:t>
            </w:r>
            <w:proofErr w:type="spellStart"/>
            <w:r>
              <w:t>Ordering</w:t>
            </w:r>
            <w:proofErr w:type="spellEnd"/>
            <w:r>
              <w:t xml:space="preserve"> Party, </w:t>
            </w:r>
            <w:proofErr w:type="spellStart"/>
            <w:r>
              <w:t>acting</w:t>
            </w:r>
            <w:proofErr w:type="spellEnd"/>
            <w:r>
              <w:t xml:space="preserve"> with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diligence</w:t>
            </w:r>
            <w:proofErr w:type="spellEnd"/>
            <w:r>
              <w:t xml:space="preserve">, </w:t>
            </w:r>
            <w:proofErr w:type="spellStart"/>
            <w:r>
              <w:t>could</w:t>
            </w:r>
            <w:proofErr w:type="spellEnd"/>
            <w:r>
              <w:t xml:space="preserve"> not </w:t>
            </w:r>
            <w:proofErr w:type="spellStart"/>
            <w:r>
              <w:t>foresee</w:t>
            </w:r>
            <w:proofErr w:type="spellEnd"/>
            <w:r>
              <w:t xml:space="preserve"> the </w:t>
            </w:r>
            <w:proofErr w:type="spellStart"/>
            <w:r>
              <w:t>changes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exceed</w:t>
            </w:r>
            <w:proofErr w:type="spellEnd"/>
            <w:r>
              <w:t xml:space="preserve"> 50% of the order,</w:t>
            </w:r>
          </w:p>
          <w:p w14:paraId="2535E779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changes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the </w:t>
            </w:r>
            <w:proofErr w:type="spellStart"/>
            <w:r>
              <w:t>implementation</w:t>
            </w:r>
            <w:proofErr w:type="spellEnd"/>
            <w:r>
              <w:t xml:space="preserve"> of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, services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 xml:space="preserve"> </w:t>
            </w:r>
            <w:proofErr w:type="spellStart"/>
            <w:r>
              <w:t>purchased</w:t>
            </w:r>
            <w:proofErr w:type="spellEnd"/>
            <w:r>
              <w:t xml:space="preserve"> from the </w:t>
            </w:r>
            <w:proofErr w:type="spellStart"/>
            <w:r>
              <w:t>Contractor</w:t>
            </w:r>
            <w:proofErr w:type="spellEnd"/>
            <w:r>
              <w:t xml:space="preserve">, not </w:t>
            </w:r>
            <w:proofErr w:type="spellStart"/>
            <w:r>
              <w:t>covered</w:t>
            </w:r>
            <w:proofErr w:type="spellEnd"/>
            <w:r>
              <w:t xml:space="preserve"> by the </w:t>
            </w:r>
            <w:proofErr w:type="spellStart"/>
            <w:r>
              <w:t>basic</w:t>
            </w:r>
            <w:proofErr w:type="spellEnd"/>
            <w:r>
              <w:t xml:space="preserve"> order,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become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and 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met:</w:t>
            </w:r>
          </w:p>
          <w:p w14:paraId="1FFDE287" w14:textId="77777777" w:rsidR="00E8561A" w:rsidRDefault="00E8561A" w:rsidP="00E8561A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jc w:val="both"/>
            </w:pPr>
            <w:r>
              <w:lastRenderedPageBreak/>
              <w:t xml:space="preserve">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cannot</w:t>
            </w:r>
            <w:proofErr w:type="spellEnd"/>
            <w:r>
              <w:t xml:space="preserve"> be </w:t>
            </w:r>
            <w:proofErr w:type="spellStart"/>
            <w:r>
              <w:t>changed</w:t>
            </w:r>
            <w:proofErr w:type="spellEnd"/>
            <w:r>
              <w:t xml:space="preserve"> for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reasons</w:t>
            </w:r>
            <w:proofErr w:type="spellEnd"/>
            <w:r>
              <w:t xml:space="preserve">, in </w:t>
            </w:r>
            <w:proofErr w:type="spellStart"/>
            <w:r>
              <w:t>particular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the </w:t>
            </w:r>
            <w:proofErr w:type="spellStart"/>
            <w:r>
              <w:t>interchangeability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interoperability</w:t>
            </w:r>
            <w:proofErr w:type="spellEnd"/>
            <w:r>
              <w:t xml:space="preserve"> of </w:t>
            </w:r>
            <w:proofErr w:type="spellStart"/>
            <w:r>
              <w:t>equipment</w:t>
            </w:r>
            <w:proofErr w:type="spellEnd"/>
            <w:r>
              <w:t xml:space="preserve">, services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installations</w:t>
            </w:r>
            <w:proofErr w:type="spellEnd"/>
            <w:r>
              <w:t xml:space="preserve"> </w:t>
            </w:r>
            <w:proofErr w:type="spellStart"/>
            <w:r>
              <w:t>ordered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the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>,</w:t>
            </w:r>
          </w:p>
          <w:p w14:paraId="69E81927" w14:textId="77777777" w:rsidR="00E8561A" w:rsidRDefault="00E8561A" w:rsidP="00E8561A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jc w:val="both"/>
            </w:pPr>
            <w:r>
              <w:t xml:space="preserve">a </w:t>
            </w:r>
            <w:proofErr w:type="spellStart"/>
            <w:r>
              <w:t>change</w:t>
            </w:r>
            <w:proofErr w:type="spellEnd"/>
            <w:r>
              <w:t xml:space="preserve"> of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cause</w:t>
            </w:r>
            <w:proofErr w:type="spellEnd"/>
            <w:r>
              <w:t xml:space="preserve"> </w:t>
            </w:r>
            <w:proofErr w:type="spellStart"/>
            <w:r>
              <w:t>significant</w:t>
            </w:r>
            <w:proofErr w:type="spellEnd"/>
            <w:r>
              <w:t xml:space="preserve"> </w:t>
            </w:r>
            <w:proofErr w:type="spellStart"/>
            <w:r>
              <w:t>inconvenience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significant</w:t>
            </w:r>
            <w:proofErr w:type="spellEnd"/>
            <w:r>
              <w:t xml:space="preserve"> </w:t>
            </w:r>
            <w:proofErr w:type="spellStart"/>
            <w:r>
              <w:t>increase</w:t>
            </w:r>
            <w:proofErr w:type="spellEnd"/>
            <w:r>
              <w:t xml:space="preserve"> in </w:t>
            </w:r>
            <w:proofErr w:type="spellStart"/>
            <w:r>
              <w:t>costs</w:t>
            </w:r>
            <w:proofErr w:type="spellEnd"/>
            <w:r>
              <w:t xml:space="preserve"> for the </w:t>
            </w:r>
            <w:proofErr w:type="spellStart"/>
            <w:r>
              <w:t>Ordering</w:t>
            </w:r>
            <w:proofErr w:type="spellEnd"/>
            <w:r>
              <w:t xml:space="preserve"> Party,</w:t>
            </w:r>
          </w:p>
          <w:p w14:paraId="0819CB48" w14:textId="77777777" w:rsidR="00E8561A" w:rsidRDefault="00E8561A" w:rsidP="00E8561A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jc w:val="both"/>
            </w:pPr>
            <w:r>
              <w:t xml:space="preserve">the </w:t>
            </w:r>
            <w:proofErr w:type="spellStart"/>
            <w:r>
              <w:t>value</w:t>
            </w:r>
            <w:proofErr w:type="spellEnd"/>
            <w:r>
              <w:t xml:space="preserve"> of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subsequent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exceed</w:t>
            </w:r>
            <w:proofErr w:type="spellEnd"/>
            <w:r>
              <w:t xml:space="preserve"> 50% of the order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originally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the </w:t>
            </w:r>
            <w:proofErr w:type="spellStart"/>
            <w:r>
              <w:t>contract</w:t>
            </w:r>
            <w:proofErr w:type="spellEnd"/>
            <w:r>
              <w:t>;</w:t>
            </w:r>
          </w:p>
          <w:p w14:paraId="60984206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when</w:t>
            </w:r>
            <w:proofErr w:type="spellEnd"/>
            <w:r>
              <w:t xml:space="preserve"> the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lead</w:t>
            </w:r>
            <w:proofErr w:type="spellEnd"/>
            <w:r>
              <w:t xml:space="preserve"> to a </w:t>
            </w:r>
            <w:proofErr w:type="spellStart"/>
            <w:r>
              <w:t>change</w:t>
            </w:r>
            <w:proofErr w:type="spellEnd"/>
            <w:r>
              <w:t xml:space="preserve"> in the </w:t>
            </w:r>
            <w:proofErr w:type="spellStart"/>
            <w:r>
              <w:t>nature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 xml:space="preserve"> and the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met:</w:t>
            </w:r>
          </w:p>
          <w:p w14:paraId="4C29DB36" w14:textId="77777777" w:rsidR="00E8561A" w:rsidRDefault="00E8561A" w:rsidP="00E8561A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 xml:space="preserve">the </w:t>
            </w:r>
            <w:proofErr w:type="spellStart"/>
            <w:r>
              <w:t>need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the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caused</w:t>
            </w:r>
            <w:proofErr w:type="spellEnd"/>
            <w:r>
              <w:t xml:space="preserve"> by </w:t>
            </w:r>
            <w:proofErr w:type="spellStart"/>
            <w:r>
              <w:t>circumstances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Ordering</w:t>
            </w:r>
            <w:proofErr w:type="spellEnd"/>
            <w:r>
              <w:t xml:space="preserve"> Party, </w:t>
            </w:r>
            <w:proofErr w:type="spellStart"/>
            <w:r>
              <w:t>acting</w:t>
            </w:r>
            <w:proofErr w:type="spellEnd"/>
            <w:r>
              <w:t xml:space="preserve"> with </w:t>
            </w:r>
            <w:proofErr w:type="spellStart"/>
            <w:r>
              <w:t>due</w:t>
            </w:r>
            <w:proofErr w:type="spellEnd"/>
            <w:r>
              <w:t xml:space="preserve"> </w:t>
            </w:r>
            <w:proofErr w:type="spellStart"/>
            <w:r>
              <w:t>diligence</w:t>
            </w:r>
            <w:proofErr w:type="spellEnd"/>
            <w:r>
              <w:t xml:space="preserve">, </w:t>
            </w:r>
            <w:proofErr w:type="spellStart"/>
            <w:r>
              <w:t>could</w:t>
            </w:r>
            <w:proofErr w:type="spellEnd"/>
            <w:r>
              <w:t xml:space="preserve"> not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predicted</w:t>
            </w:r>
            <w:proofErr w:type="spellEnd"/>
            <w:r>
              <w:t>,</w:t>
            </w:r>
          </w:p>
          <w:p w14:paraId="7CCB8A32" w14:textId="77777777" w:rsidR="00E8561A" w:rsidRDefault="00E8561A" w:rsidP="00E8561A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jc w:val="both"/>
            </w:pPr>
            <w:r>
              <w:t xml:space="preserve">the </w:t>
            </w:r>
            <w:proofErr w:type="spellStart"/>
            <w:r>
              <w:t>value</w:t>
            </w:r>
            <w:proofErr w:type="spellEnd"/>
            <w:r>
              <w:t xml:space="preserve"> of the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exceed</w:t>
            </w:r>
            <w:proofErr w:type="spellEnd"/>
            <w:r>
              <w:t xml:space="preserve"> 50% of the order </w:t>
            </w:r>
            <w:proofErr w:type="spellStart"/>
            <w:r>
              <w:t>value</w:t>
            </w:r>
            <w:proofErr w:type="spellEnd"/>
            <w:r>
              <w:t xml:space="preserve"> </w:t>
            </w:r>
            <w:proofErr w:type="spellStart"/>
            <w:r>
              <w:t>originally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in the </w:t>
            </w:r>
            <w:proofErr w:type="spellStart"/>
            <w:r>
              <w:t>contract</w:t>
            </w:r>
            <w:proofErr w:type="spellEnd"/>
            <w:r>
              <w:t>;</w:t>
            </w:r>
          </w:p>
          <w:p w14:paraId="2781895D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when</w:t>
            </w:r>
            <w:proofErr w:type="spellEnd"/>
            <w:r>
              <w:t xml:space="preserve"> 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to be </w:t>
            </w:r>
            <w:proofErr w:type="spellStart"/>
            <w:r>
              <w:t>replaced</w:t>
            </w:r>
            <w:proofErr w:type="spellEnd"/>
            <w:r>
              <w:t xml:space="preserve"> by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contractor</w:t>
            </w:r>
            <w:proofErr w:type="spellEnd"/>
            <w:r>
              <w:t>:</w:t>
            </w:r>
          </w:p>
          <w:p w14:paraId="2F7F8F86" w14:textId="77777777" w:rsidR="00E8561A" w:rsidRDefault="00E8561A" w:rsidP="00E8561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</w:pPr>
            <w:r>
              <w:t xml:space="preserve">as a </w:t>
            </w:r>
            <w:proofErr w:type="spellStart"/>
            <w:r>
              <w:t>result</w:t>
            </w:r>
            <w:proofErr w:type="spellEnd"/>
            <w:r>
              <w:t xml:space="preserve"> of a </w:t>
            </w:r>
            <w:proofErr w:type="spellStart"/>
            <w:r>
              <w:t>merger</w:t>
            </w:r>
            <w:proofErr w:type="spellEnd"/>
            <w:r>
              <w:t xml:space="preserve">, </w:t>
            </w:r>
            <w:proofErr w:type="spellStart"/>
            <w:r>
              <w:t>division</w:t>
            </w:r>
            <w:proofErr w:type="spellEnd"/>
            <w:r>
              <w:t xml:space="preserve">, </w:t>
            </w:r>
            <w:proofErr w:type="spellStart"/>
            <w:r>
              <w:t>transformation</w:t>
            </w:r>
            <w:proofErr w:type="spellEnd"/>
            <w:r>
              <w:t xml:space="preserve">, </w:t>
            </w:r>
            <w:proofErr w:type="spellStart"/>
            <w:r>
              <w:t>bankruptcy</w:t>
            </w:r>
            <w:proofErr w:type="spellEnd"/>
            <w:r>
              <w:t xml:space="preserve">, </w:t>
            </w:r>
            <w:proofErr w:type="spellStart"/>
            <w:r>
              <w:t>restructuring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acquisition</w:t>
            </w:r>
            <w:proofErr w:type="spellEnd"/>
            <w:r>
              <w:t xml:space="preserve"> of the </w:t>
            </w:r>
            <w:proofErr w:type="spellStart"/>
            <w:r>
              <w:t>existing</w:t>
            </w:r>
            <w:proofErr w:type="spellEnd"/>
            <w:r>
              <w:t xml:space="preserve">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enterprise</w:t>
            </w:r>
            <w:proofErr w:type="spellEnd"/>
            <w:r>
              <w:t xml:space="preserve">,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meets</w:t>
            </w:r>
            <w:proofErr w:type="spellEnd"/>
            <w:r>
              <w:t xml:space="preserve"> the </w:t>
            </w:r>
            <w:proofErr w:type="spellStart"/>
            <w:r>
              <w:t>conditions</w:t>
            </w:r>
            <w:proofErr w:type="spellEnd"/>
            <w:r>
              <w:t xml:space="preserve"> for </w:t>
            </w:r>
            <w:proofErr w:type="spellStart"/>
            <w:r>
              <w:t>participation</w:t>
            </w:r>
            <w:proofErr w:type="spellEnd"/>
            <w:r>
              <w:t xml:space="preserve"> in the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award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 xml:space="preserve">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no </w:t>
            </w:r>
            <w:proofErr w:type="spellStart"/>
            <w:r>
              <w:t>grounds</w:t>
            </w:r>
            <w:proofErr w:type="spellEnd"/>
            <w:r>
              <w:t xml:space="preserve"> for </w:t>
            </w:r>
            <w:proofErr w:type="spellStart"/>
            <w:r>
              <w:t>exclusion</w:t>
            </w:r>
            <w:proofErr w:type="spellEnd"/>
            <w:r>
              <w:t xml:space="preserve">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contractor</w:t>
            </w:r>
            <w:proofErr w:type="spellEnd"/>
            <w:r>
              <w:t xml:space="preserve"> and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result</w:t>
            </w:r>
            <w:proofErr w:type="spellEnd"/>
            <w:r>
              <w:t xml:space="preserve"> in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significant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to the </w:t>
            </w:r>
            <w:proofErr w:type="spellStart"/>
            <w:r>
              <w:t>contract</w:t>
            </w:r>
            <w:proofErr w:type="spellEnd"/>
            <w:r>
              <w:t xml:space="preserve"> ,</w:t>
            </w:r>
          </w:p>
          <w:p w14:paraId="4BB1E03F" w14:textId="77777777" w:rsidR="00E8561A" w:rsidRDefault="00E8561A" w:rsidP="00E8561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</w:pPr>
            <w:r>
              <w:t xml:space="preserve">as a </w:t>
            </w:r>
            <w:proofErr w:type="spellStart"/>
            <w:r>
              <w:t>result</w:t>
            </w:r>
            <w:proofErr w:type="spellEnd"/>
            <w:r>
              <w:t xml:space="preserve"> of 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the </w:t>
            </w:r>
            <w:proofErr w:type="spellStart"/>
            <w:r>
              <w:t>contractor's</w:t>
            </w:r>
            <w:proofErr w:type="spellEnd"/>
            <w:r>
              <w:t xml:space="preserve"> </w:t>
            </w:r>
            <w:proofErr w:type="spellStart"/>
            <w:r>
              <w:t>obligations</w:t>
            </w:r>
            <w:proofErr w:type="spellEnd"/>
            <w:r>
              <w:t xml:space="preserve"> </w:t>
            </w:r>
            <w:proofErr w:type="spellStart"/>
            <w:r>
              <w:t>towards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subcontractors</w:t>
            </w:r>
            <w:proofErr w:type="spellEnd"/>
            <w:r>
              <w:t xml:space="preserve">. In the event of a </w:t>
            </w:r>
            <w:proofErr w:type="spellStart"/>
            <w:r>
              <w:t>change</w:t>
            </w:r>
            <w:proofErr w:type="spellEnd"/>
            <w:r>
              <w:t xml:space="preserve"> of </w:t>
            </w:r>
            <w:proofErr w:type="spellStart"/>
            <w:r>
              <w:t>subcontractor</w:t>
            </w:r>
            <w:proofErr w:type="spellEnd"/>
            <w:r>
              <w:t xml:space="preserve">, 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conclude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with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subcontractor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changing</w:t>
            </w:r>
            <w:proofErr w:type="spellEnd"/>
            <w:r>
              <w:t xml:space="preserve"> the </w:t>
            </w:r>
            <w:proofErr w:type="spellStart"/>
            <w:r>
              <w:t>terms</w:t>
            </w:r>
            <w:proofErr w:type="spellEnd"/>
            <w:r>
              <w:t xml:space="preserve"> of performance of the order,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payments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for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to </w:t>
            </w:r>
            <w:proofErr w:type="spellStart"/>
            <w:r>
              <w:t>date</w:t>
            </w:r>
            <w:proofErr w:type="spellEnd"/>
            <w:r>
              <w:t>;</w:t>
            </w:r>
          </w:p>
          <w:p w14:paraId="01F49F31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changing</w:t>
            </w:r>
            <w:proofErr w:type="spellEnd"/>
            <w:r>
              <w:t xml:space="preserve"> the </w:t>
            </w:r>
            <w:proofErr w:type="spellStart"/>
            <w:r>
              <w:t>subcontractor</w:t>
            </w:r>
            <w:proofErr w:type="spellEnd"/>
            <w:r>
              <w:t xml:space="preserve"> with the </w:t>
            </w:r>
            <w:proofErr w:type="spellStart"/>
            <w:r>
              <w:t>help</w:t>
            </w:r>
            <w:proofErr w:type="spellEnd"/>
            <w:r>
              <w:t xml:space="preserve"> of </w:t>
            </w:r>
            <w:proofErr w:type="spellStart"/>
            <w:r>
              <w:t>which</w:t>
            </w:r>
            <w:proofErr w:type="spellEnd"/>
            <w:r>
              <w:t xml:space="preserve"> 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implements</w:t>
            </w:r>
            <w:proofErr w:type="spellEnd"/>
            <w:r>
              <w:t xml:space="preserve"> the </w:t>
            </w:r>
            <w:proofErr w:type="spellStart"/>
            <w:r>
              <w:t>subject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 xml:space="preserve"> to </w:t>
            </w:r>
            <w:proofErr w:type="spellStart"/>
            <w:r>
              <w:t>another</w:t>
            </w:r>
            <w:proofErr w:type="spellEnd"/>
            <w:r>
              <w:t xml:space="preserve"> one with the same </w:t>
            </w:r>
            <w:proofErr w:type="spellStart"/>
            <w:r>
              <w:t>qualifications</w:t>
            </w:r>
            <w:proofErr w:type="spellEnd"/>
            <w:r>
              <w:t xml:space="preserve"> and/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,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prior</w:t>
            </w:r>
            <w:proofErr w:type="spellEnd"/>
            <w:r>
              <w:t xml:space="preserve"> </w:t>
            </w:r>
            <w:proofErr w:type="spellStart"/>
            <w:r>
              <w:t>approval</w:t>
            </w:r>
            <w:proofErr w:type="spellEnd"/>
            <w:r>
              <w:t xml:space="preserve"> of the </w:t>
            </w:r>
            <w:proofErr w:type="spellStart"/>
            <w:r>
              <w:t>Ordering</w:t>
            </w:r>
            <w:proofErr w:type="spellEnd"/>
            <w:r>
              <w:t xml:space="preserve"> Party;</w:t>
            </w:r>
          </w:p>
          <w:p w14:paraId="208BC729" w14:textId="77777777" w:rsidR="00E8561A" w:rsidRDefault="00E8561A" w:rsidP="00E8561A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jc w:val="both"/>
            </w:pPr>
            <w:proofErr w:type="spellStart"/>
            <w:r>
              <w:t>when</w:t>
            </w:r>
            <w:proofErr w:type="spellEnd"/>
            <w:r>
              <w:t xml:space="preserve"> the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not </w:t>
            </w:r>
            <w:proofErr w:type="spellStart"/>
            <w:r>
              <w:t>lead</w:t>
            </w:r>
            <w:proofErr w:type="spellEnd"/>
            <w:r>
              <w:t xml:space="preserve"> to a </w:t>
            </w:r>
            <w:proofErr w:type="spellStart"/>
            <w:r>
              <w:t>change</w:t>
            </w:r>
            <w:proofErr w:type="spellEnd"/>
            <w:r>
              <w:t xml:space="preserve"> in the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 xml:space="preserve"> and the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less </w:t>
            </w:r>
            <w:proofErr w:type="spellStart"/>
            <w:r>
              <w:t>than</w:t>
            </w:r>
            <w:proofErr w:type="spellEnd"/>
            <w:r>
              <w:t xml:space="preserve"> the EU </w:t>
            </w:r>
            <w:proofErr w:type="spellStart"/>
            <w:r>
              <w:t>thresholds</w:t>
            </w:r>
            <w:proofErr w:type="spellEnd"/>
            <w:r>
              <w:t xml:space="preserve"> and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10% of the </w:t>
            </w:r>
            <w:proofErr w:type="spellStart"/>
            <w:r>
              <w:t>value</w:t>
            </w:r>
            <w:proofErr w:type="spellEnd"/>
            <w:r>
              <w:t xml:space="preserve"> of the </w:t>
            </w: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 xml:space="preserve"> in the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contracts</w:t>
            </w:r>
            <w:proofErr w:type="spellEnd"/>
            <w:r>
              <w:t xml:space="preserve"> for services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supplies</w:t>
            </w:r>
            <w:proofErr w:type="spellEnd"/>
            <w:r>
              <w:t xml:space="preserve">, </w:t>
            </w:r>
            <w:proofErr w:type="spellStart"/>
            <w:r>
              <w:t>or</w:t>
            </w:r>
            <w:proofErr w:type="spellEnd"/>
            <w:r>
              <w:t xml:space="preserve"> 15% in the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contracts</w:t>
            </w:r>
            <w:proofErr w:type="spellEnd"/>
            <w:r>
              <w:t xml:space="preserve"> for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  <w:r>
              <w:t>.</w:t>
            </w:r>
          </w:p>
          <w:p w14:paraId="2D6437C1" w14:textId="77777777" w:rsidR="00E8561A" w:rsidRDefault="00E8561A" w:rsidP="00106207">
            <w:pPr>
              <w:pStyle w:val="Akapitzlist"/>
              <w:jc w:val="both"/>
            </w:pPr>
          </w:p>
          <w:p w14:paraId="78BBB902" w14:textId="77777777" w:rsidR="00E8561A" w:rsidRDefault="00E8561A" w:rsidP="00106207">
            <w:pPr>
              <w:pStyle w:val="Akapitzlist"/>
              <w:jc w:val="both"/>
            </w:pPr>
            <w:proofErr w:type="spellStart"/>
            <w:r>
              <w:t>Changes</w:t>
            </w:r>
            <w:proofErr w:type="spellEnd"/>
            <w:r>
              <w:t xml:space="preserve"> to the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be </w:t>
            </w:r>
            <w:proofErr w:type="spellStart"/>
            <w:r>
              <w:t>made</w:t>
            </w:r>
            <w:proofErr w:type="spellEnd"/>
            <w:r>
              <w:t xml:space="preserve"> in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pain</w:t>
            </w:r>
            <w:proofErr w:type="spellEnd"/>
            <w:r>
              <w:t xml:space="preserve"> of </w:t>
            </w:r>
            <w:proofErr w:type="spellStart"/>
            <w:r>
              <w:t>nullity</w:t>
            </w:r>
            <w:proofErr w:type="spellEnd"/>
            <w:r>
              <w:t>.</w:t>
            </w:r>
          </w:p>
          <w:p w14:paraId="54B57005" w14:textId="77777777" w:rsidR="00E8561A" w:rsidRPr="00B655C8" w:rsidRDefault="00E8561A" w:rsidP="00106207">
            <w:pPr>
              <w:pStyle w:val="Akapitzlist"/>
              <w:jc w:val="both"/>
            </w:pPr>
          </w:p>
          <w:p w14:paraId="4F97580B" w14:textId="77777777" w:rsidR="00E8561A" w:rsidRDefault="00E8561A" w:rsidP="00E8561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</w:pPr>
            <w:proofErr w:type="spellStart"/>
            <w:r>
              <w:t>Subcontractors</w:t>
            </w:r>
            <w:proofErr w:type="spellEnd"/>
            <w:r>
              <w:t>:</w:t>
            </w:r>
          </w:p>
          <w:p w14:paraId="7C196ADF" w14:textId="77777777" w:rsidR="00E8561A" w:rsidRDefault="00E8561A" w:rsidP="00106207">
            <w:pPr>
              <w:pStyle w:val="Akapitzlist"/>
              <w:jc w:val="both"/>
            </w:pPr>
            <w:r>
              <w:t xml:space="preserve">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allows</w:t>
            </w:r>
            <w:proofErr w:type="spellEnd"/>
            <w:r>
              <w:t xml:space="preserve"> for the </w:t>
            </w:r>
            <w:proofErr w:type="spellStart"/>
            <w:r>
              <w:t>participation</w:t>
            </w:r>
            <w:proofErr w:type="spellEnd"/>
            <w:r>
              <w:t xml:space="preserve"> of </w:t>
            </w:r>
            <w:proofErr w:type="spellStart"/>
            <w:r>
              <w:t>subcontractors</w:t>
            </w:r>
            <w:proofErr w:type="spellEnd"/>
            <w:r>
              <w:t xml:space="preserve"> in the performance of the </w:t>
            </w:r>
            <w:proofErr w:type="spellStart"/>
            <w:r>
              <w:t>contract</w:t>
            </w:r>
            <w:proofErr w:type="spellEnd"/>
            <w:r>
              <w:t xml:space="preserve">. 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responsible</w:t>
            </w:r>
            <w:proofErr w:type="spellEnd"/>
            <w:r>
              <w:t xml:space="preserve"> for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actions</w:t>
            </w:r>
            <w:proofErr w:type="spellEnd"/>
            <w:r>
              <w:t xml:space="preserve"> and </w:t>
            </w:r>
            <w:proofErr w:type="spellStart"/>
            <w:r>
              <w:t>omissions</w:t>
            </w:r>
            <w:proofErr w:type="spellEnd"/>
            <w:r>
              <w:t xml:space="preserve"> of </w:t>
            </w:r>
            <w:proofErr w:type="spellStart"/>
            <w:r>
              <w:t>subcontractors</w:t>
            </w:r>
            <w:proofErr w:type="spellEnd"/>
            <w:r>
              <w:t xml:space="preserve"> as for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>.</w:t>
            </w:r>
          </w:p>
          <w:p w14:paraId="7625D4C9" w14:textId="77777777" w:rsidR="00E8561A" w:rsidRPr="00B655C8" w:rsidRDefault="00E8561A" w:rsidP="00106207">
            <w:pPr>
              <w:pStyle w:val="Akapitzlist"/>
              <w:jc w:val="both"/>
            </w:pPr>
          </w:p>
          <w:p w14:paraId="246112E4" w14:textId="77777777" w:rsidR="00E8561A" w:rsidRDefault="00E8561A" w:rsidP="00E8561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</w:pPr>
            <w:proofErr w:type="spellStart"/>
            <w:r>
              <w:t>Termination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 xml:space="preserve"> / </w:t>
            </w:r>
            <w:proofErr w:type="spellStart"/>
            <w:r>
              <w:t>withdrawal</w:t>
            </w:r>
            <w:proofErr w:type="spellEnd"/>
            <w:r>
              <w:t>:</w:t>
            </w:r>
          </w:p>
          <w:p w14:paraId="3B1E6FA6" w14:textId="77777777" w:rsidR="00E8561A" w:rsidRDefault="00E8561A" w:rsidP="00106207">
            <w:pPr>
              <w:pStyle w:val="Akapitzlist"/>
              <w:jc w:val="both"/>
            </w:pPr>
            <w:proofErr w:type="spellStart"/>
            <w:r>
              <w:t>If</w:t>
            </w:r>
            <w:proofErr w:type="spellEnd"/>
            <w:r>
              <w:t xml:space="preserve"> 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fails</w:t>
            </w:r>
            <w:proofErr w:type="spellEnd"/>
            <w:r>
              <w:t xml:space="preserve"> to </w:t>
            </w:r>
            <w:proofErr w:type="spellStart"/>
            <w:r>
              <w:t>remedy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breach</w:t>
            </w:r>
            <w:proofErr w:type="spellEnd"/>
            <w:r>
              <w:t xml:space="preserve"> of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obligations</w:t>
            </w:r>
            <w:proofErr w:type="spellEnd"/>
            <w:r>
              <w:t xml:space="preserve"> </w:t>
            </w:r>
            <w:proofErr w:type="spellStart"/>
            <w:r>
              <w:t>arising</w:t>
            </w:r>
            <w:proofErr w:type="spellEnd"/>
            <w:r>
              <w:t xml:space="preserve"> from the </w:t>
            </w:r>
            <w:proofErr w:type="spellStart"/>
            <w:r>
              <w:t>Contract</w:t>
            </w:r>
            <w:proofErr w:type="spellEnd"/>
            <w:r>
              <w:t xml:space="preserve">, </w:t>
            </w:r>
            <w:proofErr w:type="spellStart"/>
            <w:r>
              <w:t>despite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requested</w:t>
            </w:r>
            <w:proofErr w:type="spellEnd"/>
            <w:r>
              <w:t xml:space="preserve"> in </w:t>
            </w:r>
            <w:proofErr w:type="spellStart"/>
            <w:r>
              <w:t>writing</w:t>
            </w:r>
            <w:proofErr w:type="spellEnd"/>
            <w:r>
              <w:t xml:space="preserve"> to </w:t>
            </w:r>
            <w:proofErr w:type="spellStart"/>
            <w:r>
              <w:t>remedy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breach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a </w:t>
            </w:r>
            <w:proofErr w:type="spellStart"/>
            <w:r>
              <w:t>reasonable</w:t>
            </w:r>
            <w:proofErr w:type="spellEnd"/>
            <w:r>
              <w:t xml:space="preserve"> period not </w:t>
            </w:r>
            <w:proofErr w:type="spellStart"/>
            <w:r>
              <w:t>exceeding</w:t>
            </w:r>
            <w:proofErr w:type="spellEnd"/>
            <w:r>
              <w:t xml:space="preserve"> 30 business </w:t>
            </w:r>
            <w:proofErr w:type="spellStart"/>
            <w:r>
              <w:t>days</w:t>
            </w:r>
            <w:proofErr w:type="spellEnd"/>
            <w:r>
              <w:t xml:space="preserve">, the </w:t>
            </w:r>
            <w:proofErr w:type="spellStart"/>
            <w:r>
              <w:t>Ordering</w:t>
            </w:r>
            <w:proofErr w:type="spellEnd"/>
            <w:r>
              <w:t xml:space="preserve"> Party </w:t>
            </w:r>
            <w:proofErr w:type="spellStart"/>
            <w:r>
              <w:t>may</w:t>
            </w:r>
            <w:proofErr w:type="spellEnd"/>
            <w:r>
              <w:t xml:space="preserve">,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option</w:t>
            </w:r>
            <w:proofErr w:type="spellEnd"/>
            <w:r>
              <w:t xml:space="preserve">, </w:t>
            </w:r>
            <w:proofErr w:type="spellStart"/>
            <w:r>
              <w:t>withdraw</w:t>
            </w:r>
            <w:proofErr w:type="spellEnd"/>
            <w:r>
              <w:t xml:space="preserve"> from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terminate</w:t>
            </w:r>
            <w:proofErr w:type="spellEnd"/>
            <w:r>
              <w:t xml:space="preserve"> the </w:t>
            </w:r>
            <w:proofErr w:type="spellStart"/>
            <w:r>
              <w:t>contract</w:t>
            </w:r>
            <w:proofErr w:type="spellEnd"/>
            <w:r>
              <w:t xml:space="preserve">. In the event of </w:t>
            </w:r>
            <w:proofErr w:type="spellStart"/>
            <w:r>
              <w:t>withdrawal</w:t>
            </w:r>
            <w:proofErr w:type="spellEnd"/>
            <w:r>
              <w:t xml:space="preserve"> from the </w:t>
            </w:r>
            <w:proofErr w:type="spellStart"/>
            <w:r>
              <w:t>contract</w:t>
            </w:r>
            <w:proofErr w:type="spellEnd"/>
            <w:r>
              <w:t xml:space="preserve">, the </w:t>
            </w:r>
            <w:proofErr w:type="spellStart"/>
            <w:r>
              <w:t>Contractor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refund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amounts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to the </w:t>
            </w:r>
            <w:proofErr w:type="spellStart"/>
            <w:r>
              <w:t>Contractor</w:t>
            </w:r>
            <w:proofErr w:type="spellEnd"/>
            <w:r>
              <w:t xml:space="preserve"> to the </w:t>
            </w:r>
            <w:proofErr w:type="spellStart"/>
            <w:r>
              <w:t>Ordering</w:t>
            </w:r>
            <w:proofErr w:type="spellEnd"/>
            <w:r>
              <w:t xml:space="preserve"> Party.</w:t>
            </w:r>
          </w:p>
          <w:p w14:paraId="19ADFD56" w14:textId="77777777" w:rsidR="00E8561A" w:rsidRPr="00B655C8" w:rsidRDefault="00E8561A" w:rsidP="00106207">
            <w:pPr>
              <w:pStyle w:val="Akapitzlist"/>
              <w:jc w:val="both"/>
            </w:pPr>
          </w:p>
          <w:p w14:paraId="42DC9167" w14:textId="77777777" w:rsidR="00E8561A" w:rsidRDefault="00E8561A" w:rsidP="00E8561A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both"/>
            </w:pPr>
            <w:proofErr w:type="spellStart"/>
            <w:r>
              <w:t>Applicable</w:t>
            </w:r>
            <w:proofErr w:type="spellEnd"/>
            <w:r>
              <w:t xml:space="preserve"> law:</w:t>
            </w:r>
          </w:p>
          <w:p w14:paraId="22C2E8FF" w14:textId="77777777" w:rsidR="00E8561A" w:rsidRPr="00B655C8" w:rsidRDefault="00E8561A" w:rsidP="00106207">
            <w:pPr>
              <w:pStyle w:val="Akapitzlist"/>
              <w:jc w:val="both"/>
            </w:pPr>
            <w:r>
              <w:lastRenderedPageBreak/>
              <w:t xml:space="preserve">The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to </w:t>
            </w:r>
            <w:proofErr w:type="spellStart"/>
            <w:r>
              <w:t>Polish</w:t>
            </w:r>
            <w:proofErr w:type="spellEnd"/>
            <w:r>
              <w:t xml:space="preserve"> law.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disputes</w:t>
            </w:r>
            <w:proofErr w:type="spellEnd"/>
            <w:r>
              <w:t xml:space="preserve"> </w:t>
            </w:r>
            <w:proofErr w:type="spellStart"/>
            <w:r>
              <w:t>arising</w:t>
            </w:r>
            <w:proofErr w:type="spellEnd"/>
            <w:r>
              <w:t xml:space="preserve"> from the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resolved</w:t>
            </w:r>
            <w:proofErr w:type="spellEnd"/>
            <w:r>
              <w:t xml:space="preserve"> by the </w:t>
            </w:r>
            <w:proofErr w:type="spellStart"/>
            <w:r>
              <w:t>court</w:t>
            </w:r>
            <w:proofErr w:type="spellEnd"/>
            <w:r>
              <w:t xml:space="preserve"> </w:t>
            </w:r>
            <w:proofErr w:type="spellStart"/>
            <w:r>
              <w:t>competent</w:t>
            </w:r>
            <w:proofErr w:type="spellEnd"/>
            <w:r>
              <w:t xml:space="preserve"> for the place of </w:t>
            </w:r>
            <w:proofErr w:type="spellStart"/>
            <w:r>
              <w:t>installation</w:t>
            </w:r>
            <w:proofErr w:type="spellEnd"/>
            <w:r>
              <w:t xml:space="preserve"> of the </w:t>
            </w:r>
            <w:proofErr w:type="spellStart"/>
            <w:r>
              <w:t>subject</w:t>
            </w:r>
            <w:proofErr w:type="spellEnd"/>
            <w:r>
              <w:t xml:space="preserve"> of the </w:t>
            </w:r>
            <w:proofErr w:type="spellStart"/>
            <w:r>
              <w:t>contract</w:t>
            </w:r>
            <w:proofErr w:type="spellEnd"/>
            <w:r>
              <w:t>.</w:t>
            </w:r>
          </w:p>
          <w:p w14:paraId="2A714A8A" w14:textId="77777777" w:rsidR="00E8561A" w:rsidRPr="00362CE1" w:rsidRDefault="00E8561A" w:rsidP="00106207">
            <w:pPr>
              <w:pStyle w:val="Akapitzlist"/>
              <w:jc w:val="both"/>
            </w:pPr>
            <w:r w:rsidRPr="00362CE1">
              <w:t xml:space="preserve"> </w:t>
            </w:r>
          </w:p>
          <w:p w14:paraId="57456A0C" w14:textId="77777777" w:rsidR="00E8561A" w:rsidRPr="00362CE1" w:rsidRDefault="00E8561A" w:rsidP="001062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16A5CFA" w14:textId="3F062D1C" w:rsidR="00A07562" w:rsidRDefault="00A07562" w:rsidP="00E8561A">
      <w:pPr>
        <w:autoSpaceDE w:val="0"/>
        <w:autoSpaceDN w:val="0"/>
        <w:adjustRightInd w:val="0"/>
        <w:spacing w:after="0"/>
        <w:ind w:left="1416" w:firstLine="708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14:paraId="4297A333" w14:textId="77777777" w:rsidR="00E8561A" w:rsidRDefault="00E8561A" w:rsidP="00356CFE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bookmarkStart w:id="0" w:name="_GoBack"/>
      <w:bookmarkEnd w:id="0"/>
    </w:p>
    <w:sectPr w:rsidR="00E8561A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12E"/>
    <w:multiLevelType w:val="hybridMultilevel"/>
    <w:tmpl w:val="DA069ED2"/>
    <w:lvl w:ilvl="0" w:tplc="EECCC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D3D"/>
    <w:multiLevelType w:val="hybridMultilevel"/>
    <w:tmpl w:val="A1C821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07056"/>
    <w:multiLevelType w:val="hybridMultilevel"/>
    <w:tmpl w:val="BBB8069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A6ED9"/>
    <w:multiLevelType w:val="hybridMultilevel"/>
    <w:tmpl w:val="CC66E67E"/>
    <w:lvl w:ilvl="0" w:tplc="A566E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C6AE3"/>
    <w:multiLevelType w:val="hybridMultilevel"/>
    <w:tmpl w:val="C7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237D"/>
    <w:multiLevelType w:val="hybridMultilevel"/>
    <w:tmpl w:val="68667114"/>
    <w:lvl w:ilvl="0" w:tplc="4FC4734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8" w15:restartNumberingAfterBreak="0">
    <w:nsid w:val="3CFA7144"/>
    <w:multiLevelType w:val="hybridMultilevel"/>
    <w:tmpl w:val="0CF2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1D3C"/>
    <w:multiLevelType w:val="hybridMultilevel"/>
    <w:tmpl w:val="6F024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DF2441"/>
    <w:multiLevelType w:val="hybridMultilevel"/>
    <w:tmpl w:val="231EC0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F205E7"/>
    <w:multiLevelType w:val="hybridMultilevel"/>
    <w:tmpl w:val="0CF2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3734D"/>
    <w:multiLevelType w:val="hybridMultilevel"/>
    <w:tmpl w:val="909E948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83B84"/>
    <w:multiLevelType w:val="hybridMultilevel"/>
    <w:tmpl w:val="651EB2D0"/>
    <w:lvl w:ilvl="0" w:tplc="041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13B35"/>
    <w:multiLevelType w:val="hybridMultilevel"/>
    <w:tmpl w:val="4D902048"/>
    <w:lvl w:ilvl="0" w:tplc="A10A8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150C0"/>
    <w:multiLevelType w:val="hybridMultilevel"/>
    <w:tmpl w:val="C7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E42E61"/>
    <w:multiLevelType w:val="hybridMultilevel"/>
    <w:tmpl w:val="0DA6E3B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F701B"/>
    <w:multiLevelType w:val="hybridMultilevel"/>
    <w:tmpl w:val="E8BE52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BD42E8"/>
    <w:multiLevelType w:val="hybridMultilevel"/>
    <w:tmpl w:val="96BE723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A559E"/>
    <w:multiLevelType w:val="hybridMultilevel"/>
    <w:tmpl w:val="CC6A8E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5"/>
  </w:num>
  <w:num w:numId="14">
    <w:abstractNumId w:val="21"/>
  </w:num>
  <w:num w:numId="15">
    <w:abstractNumId w:val="25"/>
  </w:num>
  <w:num w:numId="16">
    <w:abstractNumId w:val="33"/>
  </w:num>
  <w:num w:numId="17">
    <w:abstractNumId w:val="17"/>
  </w:num>
  <w:num w:numId="18">
    <w:abstractNumId w:val="15"/>
  </w:num>
  <w:num w:numId="19">
    <w:abstractNumId w:val="2"/>
  </w:num>
  <w:num w:numId="20">
    <w:abstractNumId w:val="37"/>
  </w:num>
  <w:num w:numId="21">
    <w:abstractNumId w:val="7"/>
  </w:num>
  <w:num w:numId="22">
    <w:abstractNumId w:val="9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9"/>
  </w:num>
  <w:num w:numId="30">
    <w:abstractNumId w:val="3"/>
  </w:num>
  <w:num w:numId="31">
    <w:abstractNumId w:val="34"/>
  </w:num>
  <w:num w:numId="32">
    <w:abstractNumId w:val="4"/>
  </w:num>
  <w:num w:numId="33">
    <w:abstractNumId w:val="11"/>
  </w:num>
  <w:num w:numId="34">
    <w:abstractNumId w:val="5"/>
  </w:num>
  <w:num w:numId="35">
    <w:abstractNumId w:val="36"/>
  </w:num>
  <w:num w:numId="36">
    <w:abstractNumId w:val="24"/>
  </w:num>
  <w:num w:numId="37">
    <w:abstractNumId w:val="38"/>
  </w:num>
  <w:num w:numId="38">
    <w:abstractNumId w:val="26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5481E"/>
    <w:rsid w:val="00174AFC"/>
    <w:rsid w:val="001842EF"/>
    <w:rsid w:val="00193CBF"/>
    <w:rsid w:val="001A13F4"/>
    <w:rsid w:val="001A2EF9"/>
    <w:rsid w:val="001B02D6"/>
    <w:rsid w:val="001B0C67"/>
    <w:rsid w:val="001B69CE"/>
    <w:rsid w:val="001C1BD9"/>
    <w:rsid w:val="001C3A65"/>
    <w:rsid w:val="001F341A"/>
    <w:rsid w:val="00206193"/>
    <w:rsid w:val="00213E0E"/>
    <w:rsid w:val="00221343"/>
    <w:rsid w:val="00222CCE"/>
    <w:rsid w:val="002303E3"/>
    <w:rsid w:val="00235DD6"/>
    <w:rsid w:val="00236A17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56CFE"/>
    <w:rsid w:val="003721CA"/>
    <w:rsid w:val="00390EB5"/>
    <w:rsid w:val="003A0455"/>
    <w:rsid w:val="003A3890"/>
    <w:rsid w:val="003A6319"/>
    <w:rsid w:val="003B37ED"/>
    <w:rsid w:val="003C1A0B"/>
    <w:rsid w:val="003C3E3B"/>
    <w:rsid w:val="003F769A"/>
    <w:rsid w:val="004041D1"/>
    <w:rsid w:val="00420EF0"/>
    <w:rsid w:val="00430146"/>
    <w:rsid w:val="00435CA7"/>
    <w:rsid w:val="00437BCF"/>
    <w:rsid w:val="00481255"/>
    <w:rsid w:val="00483BAC"/>
    <w:rsid w:val="00484FD1"/>
    <w:rsid w:val="004C1F26"/>
    <w:rsid w:val="004D116B"/>
    <w:rsid w:val="004D3DF0"/>
    <w:rsid w:val="004E3F8C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D40"/>
    <w:rsid w:val="007B3D92"/>
    <w:rsid w:val="007C3D62"/>
    <w:rsid w:val="007C5FBA"/>
    <w:rsid w:val="007C63A9"/>
    <w:rsid w:val="007D1883"/>
    <w:rsid w:val="007F317E"/>
    <w:rsid w:val="007F499B"/>
    <w:rsid w:val="0080482C"/>
    <w:rsid w:val="0081746F"/>
    <w:rsid w:val="00830B8E"/>
    <w:rsid w:val="0083213E"/>
    <w:rsid w:val="008368BA"/>
    <w:rsid w:val="008479EA"/>
    <w:rsid w:val="00857CF6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479FF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07562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05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32BB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AB9"/>
    <w:rsid w:val="00E23C4A"/>
    <w:rsid w:val="00E27261"/>
    <w:rsid w:val="00E3648E"/>
    <w:rsid w:val="00E378CD"/>
    <w:rsid w:val="00E4522C"/>
    <w:rsid w:val="00E823DE"/>
    <w:rsid w:val="00E8561A"/>
    <w:rsid w:val="00E94BC0"/>
    <w:rsid w:val="00E95E1A"/>
    <w:rsid w:val="00EB14A4"/>
    <w:rsid w:val="00EC3577"/>
    <w:rsid w:val="00EC630D"/>
    <w:rsid w:val="00ED43F5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677D3"/>
    <w:rsid w:val="00F707A5"/>
    <w:rsid w:val="00F85955"/>
    <w:rsid w:val="00F91F20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F91F20"/>
  </w:style>
  <w:style w:type="character" w:customStyle="1" w:styleId="hwtze">
    <w:name w:val="hwtze"/>
    <w:basedOn w:val="Domylnaczcionkaakapitu"/>
    <w:rsid w:val="0048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A198-AA68-4E64-99BE-F9401E39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3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3</cp:revision>
  <cp:lastPrinted>2024-03-15T09:18:00Z</cp:lastPrinted>
  <dcterms:created xsi:type="dcterms:W3CDTF">2024-03-15T09:41:00Z</dcterms:created>
  <dcterms:modified xsi:type="dcterms:W3CDTF">2024-03-15T10:06:00Z</dcterms:modified>
</cp:coreProperties>
</file>